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Приложение 4</w:t>
      </w:r>
      <w:r w:rsidR="001C7DAD" w:rsidRPr="00050F88">
        <w:rPr>
          <w:rFonts w:ascii="Times New Roman" w:hAnsi="Times New Roman"/>
          <w:sz w:val="28"/>
          <w:szCs w:val="28"/>
          <w:lang w:val="kk-KZ"/>
        </w:rPr>
        <w:t>7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 xml:space="preserve">к </w:t>
      </w:r>
      <w:r w:rsidR="00C450E5" w:rsidRPr="00050F88">
        <w:rPr>
          <w:rFonts w:ascii="Times New Roman" w:hAnsi="Times New Roman"/>
          <w:sz w:val="28"/>
          <w:szCs w:val="28"/>
          <w:lang w:val="kk-KZ"/>
        </w:rPr>
        <w:t>приказу</w:t>
      </w:r>
      <w:r w:rsidRPr="00050F88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Республики Казахстан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от «</w:t>
      </w:r>
      <w:r w:rsidR="00CF36D4" w:rsidRPr="00090BEB">
        <w:rPr>
          <w:rFonts w:ascii="Times New Roman" w:hAnsi="Times New Roman"/>
          <w:sz w:val="28"/>
          <w:szCs w:val="28"/>
        </w:rPr>
        <w:t>27</w:t>
      </w:r>
      <w:r w:rsidRPr="00050F88">
        <w:rPr>
          <w:rFonts w:ascii="Times New Roman" w:hAnsi="Times New Roman"/>
          <w:sz w:val="28"/>
          <w:szCs w:val="28"/>
        </w:rPr>
        <w:t xml:space="preserve">» </w:t>
      </w:r>
      <w:r w:rsidR="00CF36D4">
        <w:rPr>
          <w:rFonts w:ascii="Times New Roman" w:hAnsi="Times New Roman"/>
          <w:sz w:val="28"/>
          <w:szCs w:val="28"/>
        </w:rPr>
        <w:t>апреля</w:t>
      </w:r>
      <w:r w:rsidRPr="00050F88">
        <w:rPr>
          <w:rFonts w:ascii="Times New Roman" w:hAnsi="Times New Roman"/>
          <w:sz w:val="28"/>
          <w:szCs w:val="28"/>
        </w:rPr>
        <w:t xml:space="preserve"> 201</w:t>
      </w:r>
      <w:r w:rsidR="005035CD" w:rsidRPr="00050F88">
        <w:rPr>
          <w:rFonts w:ascii="Times New Roman" w:hAnsi="Times New Roman"/>
          <w:sz w:val="28"/>
          <w:szCs w:val="28"/>
          <w:lang w:val="kk-KZ"/>
        </w:rPr>
        <w:t>5</w:t>
      </w:r>
      <w:r w:rsidRPr="00050F88">
        <w:rPr>
          <w:rFonts w:ascii="Times New Roman" w:hAnsi="Times New Roman"/>
          <w:sz w:val="28"/>
          <w:szCs w:val="28"/>
        </w:rPr>
        <w:t xml:space="preserve"> года №</w:t>
      </w:r>
      <w:r w:rsidR="00CF36D4">
        <w:rPr>
          <w:rFonts w:ascii="Times New Roman" w:hAnsi="Times New Roman"/>
          <w:sz w:val="28"/>
          <w:szCs w:val="28"/>
        </w:rPr>
        <w:t xml:space="preserve"> 284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свободных складов»</w:t>
      </w: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503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555D" w:rsidRPr="00050F88" w:rsidRDefault="009D555D" w:rsidP="009D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 w:rsidR="00994961">
        <w:rPr>
          <w:rFonts w:ascii="Times New Roman" w:hAnsi="Times New Roman"/>
          <w:sz w:val="28"/>
          <w:szCs w:val="28"/>
        </w:rPr>
        <w:t>«</w:t>
      </w:r>
      <w:r w:rsidRPr="00885529">
        <w:rPr>
          <w:rFonts w:ascii="Times New Roman" w:hAnsi="Times New Roman"/>
          <w:sz w:val="28"/>
          <w:szCs w:val="28"/>
        </w:rPr>
        <w:t>Включение в реестр владельцев свободных складов</w:t>
      </w:r>
      <w:r w:rsidR="00994961">
        <w:rPr>
          <w:rFonts w:ascii="Times New Roman" w:hAnsi="Times New Roman"/>
          <w:sz w:val="28"/>
          <w:szCs w:val="28"/>
        </w:rPr>
        <w:t>»</w:t>
      </w:r>
      <w:r w:rsidRPr="00885529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85529" w:rsidRPr="00885529" w:rsidRDefault="00547D80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– услугодатель).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через: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1) канцелярию услугодателя;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2) веб-портал "электронного правительства" www.egov.kz (далее – портал).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4. Срок оказания государственной услуги: </w:t>
      </w:r>
    </w:p>
    <w:p w:rsidR="00885529" w:rsidRPr="00885529" w:rsidRDefault="00547D80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1) с момента сдачи пакета документов услугополучателем услугодателю и на портал – 10 (десять) рабочих дней;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2) максимально допустимое время ожидания для сдачи пакета документов услугополучателем услугодателю – 30 (тридцать) минут;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30 (тридцать) минут.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При включении услугополучателя в реестр владельцев свободных складов услугодатель уведомляет услугополучателя о принятом решении в письменной форме в течение 5 (пяти) рабочих дней со дня включения услугополучателя в реестр владельцев свободных складов.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885529" w:rsidRPr="00885529" w:rsidRDefault="00547D80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6. Результатом оказания государственной услуги является – решение о включении в реестр владельцев свободных складов с уведомлением либо мотивированный ответ (уведомление) об отказе в оказании государственной </w:t>
      </w:r>
      <w:r w:rsidRPr="00547D80">
        <w:rPr>
          <w:rFonts w:ascii="Times New Roman" w:hAnsi="Times New Roman"/>
          <w:sz w:val="28"/>
          <w:szCs w:val="28"/>
        </w:rPr>
        <w:lastRenderedPageBreak/>
        <w:t>услуги в случаях и по основаниям, указанным в пункте 10 настоящего стандарта государственной услуги.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услугодателя.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 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7. Государственная услуга оказывается бесплатно юридическим лицам (далее – услугополучатель).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8. График работы: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9. Перечень документов, необходимых для оказания государственной услуги при обращении услугополучателя: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к услугодателю – заявление, согласно приложению к настоящему стандарту государственной услуги;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через портал – заявление в форме электронного документа, подписанное ЭЦП.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Должностное лицо услугодателя не позднее трех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Кодекса Республики Казахстан от 26 декабря 2017 года «О таможенном регулировании в Республике Казахстан» (далее – Кодекс) на соответствие требованиям, определенным подпунктом 1) пункта 1 статьи 517 Кодекса.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lastRenderedPageBreak/>
        <w:t>При проведении таможенного осмотра услугополучатель представляет должностному лицу услугодателя копии следующих документов с предъявлением оригиналов: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1) подтверждающих 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свободного склада;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2) подтверждающих право владения, пользования и (или) распоряжения сертифицированным весовым оборудованием, соответствующим характеру помещаемых товаров.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При подаче услугополучателем заявления: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через канцелярию услугодателя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9-1. Основанием для отказа в оказании государственной услуги является случаи: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2) несоответствие услугополучателя следующим условиям: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свободного склада и отвечающих следующим требованиям: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территория, предназначенная для использования в качестве свободного склада, должна быть оборудована и обустроена для осуществления операций по производству и переработке товаров согласно цели, указанной в заявлении юридического лица о включении в реестр владельцев свободных складов;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иметь непрерывное ограждение по всему периметру, обеспечивающее исключение доступа посторонних лиц;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lastRenderedPageBreak/>
        <w:t>обозначение территории, включая к ней погрузочно-разгрузочные площадки, в соответствии с пунктом 5 статьи 404 Кодекса;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наличие мест для досмотра товаров, в том числе крытых площадок, расположенных в пунктах досмотра, оснащенных электрическим освещением и оборудованных средствами видеонаблюдения, совместимыми с программными продуктами таможенных органов, функционирующими в круглосуточном режиме, позволяющими осуществлять просмотр видеоинформации о происшедших событиях в течение тридцати календарных дней. При этом место досмотра должно быть обозначено и исключать наличие непросматриваемых зон (участков) для средств видеонаблюдения;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наличие сертифицированного весового оборудования, соответствующего характеру помещаемых товаров, а в случае помещения газа в специальные хранилища – наличие соответствующих приборов учета;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отсутствие на день обращения к услугодателю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наличие системы учета товаров, соответствующей требованиям, утвержденным уполномоченным органом, позволяющей сопоставлять сведения, представленные услугодателем при совершении таможенных операций, со сведениями о проведении хозяйственных операций;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отсутствие на день обращения к услугодателю вступившего в законную силу и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521, 528, 532, 533, 534, 538, 539, 540, 544, 551, 552, 555 и 558 Кодекса Республики Казахстан об административных правонарушениях и отсутствие фактов неустранения причин, повлекших указанные нарушения таможенного законодательства Республики Казахстан;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наличие договора (соглашения) о пользовании информационной системой электронных счетов-фактур;</w:t>
      </w:r>
    </w:p>
    <w:p w:rsidR="00885529" w:rsidRPr="00885529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если сооружения, помещения (части помещений) и (или) открытые площадки находятся в аренде на день подачи заявления о включении в реестр владельцев свободных складов, договор аренды в отношении таких сооружений, помещений (частей помещений) и (или) открытых площадок не заключен на срок не менее трех лет.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центрального государственного органа, услугодателя и (или) их</w:t>
      </w:r>
    </w:p>
    <w:p w:rsidR="00885529" w:rsidRPr="00885529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10.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</w:t>
      </w:r>
      <w:r w:rsidRPr="00547D80">
        <w:rPr>
          <w:rFonts w:ascii="Times New Roman" w:hAnsi="Times New Roman"/>
          <w:sz w:val="28"/>
          <w:szCs w:val="28"/>
        </w:rPr>
        <w:lastRenderedPageBreak/>
        <w:t>руководителя услугодателя по адресам, указанным в пункте 12 настоящего стандарта государственной услуги.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В жалобе услугополучателя указываются: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1) физического лица – указываются его фамилия, имя, а также по желанию отчество, индивидуальный идентификационный номер, почтовый адрес и контактный телефон;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2) юридического лица – его наименование, бизнес-идентификационный номер, почтовый адрес, исходящий номер (при наличии) и дата входящего документа.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Обращение подписывается услугополучателем, либо представителем услугополучателя.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услугополучателем документа, удостоверяющего личность.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Работник Государственной корпорации: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осуществляет идентификацию услугополучателя;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разъясняет основные правила подачи видеообращения;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проводит заявителя в видеокабинку для подачи видеообращения.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По результатам рассмотрения видеообращения услугодателем принимается решение. Решение направляется услугополучателям на почтовый адрес. Дополнительно услугодатель  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</w:t>
      </w:r>
      <w:r w:rsidRPr="00547D80">
        <w:rPr>
          <w:rFonts w:ascii="Times New Roman" w:hAnsi="Times New Roman"/>
          <w:sz w:val="28"/>
          <w:szCs w:val="28"/>
        </w:rPr>
        <w:lastRenderedPageBreak/>
        <w:t xml:space="preserve">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2013 года «О государственных услугах».</w:t>
      </w:r>
    </w:p>
    <w:p w:rsidR="00885529" w:rsidRPr="00885529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11.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 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форме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547D80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12. Адреса мест оказания государственной услуги размещены на интернет-ресурсах услугодателя –  www.kgd.gov.kz, www.minfin.gov.kz.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13.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547D80" w:rsidRPr="00547D80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885529" w:rsidRDefault="00547D80" w:rsidP="0054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D80">
        <w:rPr>
          <w:rFonts w:ascii="Times New Roman" w:hAnsi="Times New Roman"/>
          <w:sz w:val="28"/>
          <w:szCs w:val="28"/>
        </w:rPr>
        <w:t>15. Контактные телефоны Единого контакт-центра: 1414, 8-800-080-7777.</w:t>
      </w:r>
    </w:p>
    <w:p w:rsid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C60" w:rsidRPr="00050F88" w:rsidRDefault="00860C60">
      <w:pPr>
        <w:rPr>
          <w:sz w:val="28"/>
          <w:szCs w:val="28"/>
        </w:rPr>
      </w:pPr>
    </w:p>
    <w:p w:rsidR="00860C60" w:rsidRPr="00050F88" w:rsidRDefault="00860C60"/>
    <w:p w:rsidR="00860C60" w:rsidRPr="00050F88" w:rsidRDefault="00860C60"/>
    <w:p w:rsidR="00860C60" w:rsidRDefault="00860C60"/>
    <w:p w:rsidR="00994961" w:rsidRPr="00050F88" w:rsidRDefault="00994961"/>
    <w:p w:rsidR="00860C60" w:rsidRPr="00050F88" w:rsidRDefault="00860C60"/>
    <w:p w:rsidR="001B2B58" w:rsidRPr="00050F88" w:rsidRDefault="001B2B58"/>
    <w:p w:rsidR="001B2B58" w:rsidRPr="00050F88" w:rsidRDefault="001B2B58"/>
    <w:p w:rsidR="00860C60" w:rsidRPr="00050F88" w:rsidRDefault="00860C60"/>
    <w:p w:rsidR="00547D80" w:rsidRDefault="00547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2B58" w:rsidRPr="00050F88" w:rsidRDefault="001B2B58" w:rsidP="001B2B58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47D80">
        <w:rPr>
          <w:rFonts w:ascii="Times New Roman" w:eastAsia="Calibri" w:hAnsi="Times New Roman"/>
          <w:sz w:val="24"/>
          <w:szCs w:val="24"/>
          <w:lang w:eastAsia="ru-RU"/>
        </w:rPr>
        <w:t>Приложение</w:t>
      </w:r>
      <w:r w:rsidRPr="00547D80">
        <w:rPr>
          <w:rFonts w:ascii="Times New Roman" w:eastAsia="Calibri" w:hAnsi="Times New Roman"/>
          <w:sz w:val="24"/>
          <w:szCs w:val="24"/>
          <w:lang w:eastAsia="ru-RU"/>
        </w:rPr>
        <w:br/>
        <w:t>к стандарту государственной услуги «Включение в реестр владельцев свободных складов»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8076" w:firstLine="420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Форма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8076" w:firstLine="420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47D80">
        <w:rPr>
          <w:rFonts w:ascii="Times New Roman" w:eastAsia="Consolas" w:hAnsi="Times New Roman"/>
          <w:sz w:val="20"/>
          <w:szCs w:val="20"/>
          <w:lang w:eastAsia="ru-RU"/>
        </w:rPr>
        <w:t>полное наименование юридического лица)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47D80">
        <w:rPr>
          <w:rFonts w:ascii="Times New Roman" w:eastAsia="Consolas" w:hAnsi="Times New Roman"/>
          <w:sz w:val="20"/>
          <w:szCs w:val="20"/>
          <w:lang w:eastAsia="ru-RU"/>
        </w:rPr>
        <w:t>юридический адрес)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47D80">
        <w:rPr>
          <w:rFonts w:ascii="Times New Roman" w:eastAsia="Consolas" w:hAnsi="Times New Roman"/>
          <w:sz w:val="20"/>
          <w:szCs w:val="20"/>
          <w:lang w:eastAsia="ru-RU"/>
        </w:rPr>
        <w:t>фактический адрес)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47D80">
        <w:rPr>
          <w:rFonts w:ascii="Times New Roman" w:eastAsia="Consolas" w:hAnsi="Times New Roman"/>
          <w:sz w:val="20"/>
          <w:szCs w:val="20"/>
          <w:lang w:eastAsia="ru-RU"/>
        </w:rPr>
        <w:t>(бизнес-идентификационный номер)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47D80">
        <w:rPr>
          <w:rFonts w:ascii="Times New Roman" w:eastAsia="Consolas" w:hAnsi="Times New Roman"/>
          <w:sz w:val="20"/>
          <w:szCs w:val="20"/>
          <w:lang w:eastAsia="ru-RU"/>
        </w:rPr>
        <w:t>электронный адрес, телефон)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547D80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47D80">
        <w:rPr>
          <w:rFonts w:ascii="Times New Roman" w:eastAsia="Consolas" w:hAnsi="Times New Roman"/>
          <w:sz w:val="20"/>
          <w:szCs w:val="20"/>
          <w:lang w:eastAsia="ru-RU"/>
        </w:rPr>
        <w:t>наименование органа государственных доходов</w:t>
      </w:r>
      <w:r w:rsidRPr="00547D80">
        <w:rPr>
          <w:rFonts w:ascii="Times New Roman" w:eastAsia="Consolas" w:hAnsi="Times New Roman"/>
          <w:sz w:val="28"/>
          <w:szCs w:val="28"/>
          <w:lang w:eastAsia="ru-RU"/>
        </w:rPr>
        <w:t>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 о включении в реестр владельцев свободных складов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Просим Вас согласно пункту 1 стати 518 Кодекса Республики Казахстан  от 26 декабря 2017 года «О таможенном регулировании в Республике Казахстан» (далее – Кодекс) включить в реестр владельцев свободных складов.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Указываем следующие сведения:</w:t>
      </w:r>
    </w:p>
    <w:p w:rsidR="00547D80" w:rsidRPr="00547D80" w:rsidRDefault="00547D80" w:rsidP="00547D80">
      <w:pPr>
        <w:spacing w:after="0" w:line="240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47D80">
        <w:rPr>
          <w:rFonts w:ascii="Times New Roman" w:hAnsi="Times New Roman"/>
          <w:spacing w:val="2"/>
          <w:sz w:val="28"/>
          <w:szCs w:val="28"/>
          <w:lang w:eastAsia="ru-RU"/>
        </w:rPr>
        <w:t>наличие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свободного склада. Если сооружения, помещения (части помещений) и (или) открытые площадки находятся в аренде на день подачи заявления о включении в реестр владельцев свободных складов, договор аренды в отношении таких сооружений, помещений (частей помещений) и (или) открытых площадок должен быть заключен на срок не менее трех лет____________________________________________________________________________________________;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территория, предназначенная для использования в качестве свободного склада, должна быть оборудована и обустроена для осуществления операций по производству и переработке товаров согласно цели, указанной в заявлении юридического лица о включении в реестр владельцев свободных складов ____________________________________________________________________ 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lastRenderedPageBreak/>
        <w:t>территория, включая примыкающие погрузочно-разгрузочные площадки (одно или несколько складских помещений и площадок), с непрерывным ограждением по всему периметру, обеспечивающее исключение доступа посторонних лиц______________________________________________________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обозначение территории, включая к ней погрузочно-разгрузочные площадки, в соответствии с </w:t>
      </w:r>
      <w:hyperlink r:id="rId8" w:anchor="z6140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пунктом 5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 статьи 404 Кодекса 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наличие мест для досмотра товаров, в том числе крытых площадок, расположенных в пунктах досмотра, оснащенных электрическим освещением и оборудованных средствами видеонаблюдения, совместимыми с программными продуктами таможенных органов, функционирующими в круглосуточном режиме, позволяющими осуществлять просмотр видеоинформации о происшедших событиях в течение тридцати календарных дней________________________________________________________________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наличие сертифицированного весового оборудования, соответствующее характеру помещаемых товаров, а в случае помещения газа в специальные хранилища – наличие соответствующих приборов учета____________________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отсутствие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наличие системы учета товаров, соответствующей требованиям, утвержденным уполномоченным органом, позволяющей сопоставлять сведения, представленные территориальным таможенным органам при совершении таможенных операций, со сведениями о проведении хозяйственных операций_______________________________________________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отсутствие на день обращения в органы государственных доходов вступившего в законную силу и неисполненного постановления по делу об административном правонарушении норм таможенного законодательства Республики Казахстан в соответствии со статьями </w:t>
      </w:r>
      <w:hyperlink r:id="rId9" w:anchor="z1777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521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0" w:anchor="z1786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528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1" w:anchor="z1793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532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2" w:anchor="z1796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533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3" w:anchor="z1797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534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4" w:anchor="z1805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538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5" w:anchor="z1806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539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6" w:anchor="z1807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540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7" w:anchor="z1816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544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8" w:anchor="z1825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551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9" w:anchor="z1829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552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20" w:anchor="z1834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555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hyperlink r:id="rId21" w:anchor="z1837" w:history="1">
        <w:r w:rsidRPr="00547D80">
          <w:rPr>
            <w:rFonts w:ascii="Times New Roman" w:eastAsia="Calibri" w:hAnsi="Times New Roman"/>
            <w:sz w:val="28"/>
            <w:szCs w:val="28"/>
            <w:lang w:eastAsia="ru-RU"/>
          </w:rPr>
          <w:t>558</w:t>
        </w:r>
      </w:hyperlink>
      <w:r w:rsidRPr="00547D80">
        <w:rPr>
          <w:rFonts w:ascii="Times New Roman" w:eastAsia="Calibri" w:hAnsi="Times New Roman"/>
          <w:sz w:val="28"/>
          <w:szCs w:val="28"/>
          <w:lang w:eastAsia="ru-RU"/>
        </w:rPr>
        <w:t xml:space="preserve"> Кодекса Республики Казахстан об административных правонарушениях и отсутствие фактов не устранения причин, повлекших указанные нарушения таможенного законодательства Республики Казахстан_________________________________________________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наличие договора (соглашения) о пользовании информационной системой электронных счетов-фактур___________________________________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lastRenderedPageBreak/>
        <w:t>____________________________________________________________________.</w:t>
      </w:r>
    </w:p>
    <w:p w:rsidR="00547D80" w:rsidRPr="00547D80" w:rsidRDefault="00547D80" w:rsidP="00547D80">
      <w:pPr>
        <w:spacing w:after="0" w:line="24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47D80">
        <w:rPr>
          <w:rFonts w:ascii="Times New Roman" w:hAnsi="Times New Roman"/>
          <w:spacing w:val="2"/>
          <w:sz w:val="28"/>
          <w:szCs w:val="28"/>
          <w:lang w:eastAsia="ru-RU"/>
        </w:rPr>
        <w:t>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владельцев свободных складов»___________________________________________________</w:t>
      </w:r>
    </w:p>
    <w:p w:rsidR="00547D80" w:rsidRPr="00547D80" w:rsidRDefault="00547D80" w:rsidP="00547D80">
      <w:pPr>
        <w:spacing w:after="0" w:line="240" w:lineRule="atLeast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47D80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___________________________________________________________________.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Дата подачи ____________________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Фамилия, имя, отчество (при его наличии)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лица_________________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7D80">
        <w:rPr>
          <w:rFonts w:ascii="Times New Roman" w:eastAsia="Calibri" w:hAnsi="Times New Roman"/>
          <w:sz w:val="28"/>
          <w:szCs w:val="28"/>
          <w:lang w:eastAsia="ru-RU"/>
        </w:rPr>
        <w:t>Подпись ________________</w:t>
      </w: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47D80" w:rsidRPr="00547D80" w:rsidRDefault="00547D80" w:rsidP="00547D80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E47DA" w:rsidRPr="001B2B58" w:rsidRDefault="00EE47DA" w:rsidP="00C75C16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E47DA" w:rsidRPr="001B2B58" w:rsidSect="00672438">
      <w:headerReference w:type="default" r:id="rId22"/>
      <w:headerReference w:type="first" r:id="rId23"/>
      <w:pgSz w:w="11906" w:h="16838"/>
      <w:pgMar w:top="1276" w:right="851" w:bottom="1418" w:left="1418" w:header="709" w:footer="709" w:gutter="0"/>
      <w:pgNumType w:start="5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B5" w:rsidRDefault="00AA09B5">
      <w:pPr>
        <w:spacing w:after="0" w:line="240" w:lineRule="auto"/>
      </w:pPr>
      <w:r>
        <w:separator/>
      </w:r>
    </w:p>
  </w:endnote>
  <w:endnote w:type="continuationSeparator" w:id="0">
    <w:p w:rsidR="00AA09B5" w:rsidRDefault="00A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B5" w:rsidRDefault="00AA09B5">
      <w:pPr>
        <w:spacing w:after="0" w:line="240" w:lineRule="auto"/>
      </w:pPr>
      <w:r>
        <w:separator/>
      </w:r>
    </w:p>
  </w:footnote>
  <w:footnote w:type="continuationSeparator" w:id="0">
    <w:p w:rsidR="00AA09B5" w:rsidRDefault="00A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0A" w:rsidRPr="00BC7C83" w:rsidRDefault="002A484B" w:rsidP="00246744">
    <w:pPr>
      <w:pStyle w:val="a6"/>
      <w:jc w:val="center"/>
      <w:rPr>
        <w:sz w:val="28"/>
        <w:szCs w:val="28"/>
      </w:rPr>
    </w:pPr>
    <w:r w:rsidRPr="00BC7C83">
      <w:rPr>
        <w:rFonts w:ascii="Times New Roman" w:hAnsi="Times New Roman"/>
        <w:sz w:val="28"/>
        <w:szCs w:val="28"/>
      </w:rPr>
      <w:fldChar w:fldCharType="begin"/>
    </w:r>
    <w:r w:rsidR="00EE7F34" w:rsidRPr="00BC7C83">
      <w:rPr>
        <w:rFonts w:ascii="Times New Roman" w:hAnsi="Times New Roman"/>
        <w:sz w:val="28"/>
        <w:szCs w:val="28"/>
      </w:rPr>
      <w:instrText>PAGE   \* MERGEFORMAT</w:instrText>
    </w:r>
    <w:r w:rsidRPr="00BC7C83">
      <w:rPr>
        <w:rFonts w:ascii="Times New Roman" w:hAnsi="Times New Roman"/>
        <w:sz w:val="28"/>
        <w:szCs w:val="28"/>
      </w:rPr>
      <w:fldChar w:fldCharType="separate"/>
    </w:r>
    <w:r w:rsidR="00547D80">
      <w:rPr>
        <w:rFonts w:ascii="Times New Roman" w:hAnsi="Times New Roman"/>
        <w:noProof/>
        <w:sz w:val="28"/>
        <w:szCs w:val="28"/>
      </w:rPr>
      <w:t>507</w:t>
    </w:r>
    <w:r w:rsidRPr="00BC7C8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744019"/>
    </w:sdtPr>
    <w:sdtEndPr>
      <w:rPr>
        <w:rFonts w:ascii="Times New Roman" w:hAnsi="Times New Roman"/>
        <w:sz w:val="28"/>
        <w:szCs w:val="28"/>
      </w:rPr>
    </w:sdtEndPr>
    <w:sdtContent>
      <w:p w:rsidR="002041FB" w:rsidRPr="002041FB" w:rsidRDefault="002A484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041FB">
          <w:rPr>
            <w:rFonts w:ascii="Times New Roman" w:hAnsi="Times New Roman"/>
            <w:sz w:val="28"/>
            <w:szCs w:val="28"/>
          </w:rPr>
          <w:fldChar w:fldCharType="begin"/>
        </w:r>
        <w:r w:rsidR="002041FB" w:rsidRPr="002041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41FB">
          <w:rPr>
            <w:rFonts w:ascii="Times New Roman" w:hAnsi="Times New Roman"/>
            <w:sz w:val="28"/>
            <w:szCs w:val="28"/>
          </w:rPr>
          <w:fldChar w:fldCharType="separate"/>
        </w:r>
        <w:r w:rsidR="005247D4">
          <w:rPr>
            <w:rFonts w:ascii="Times New Roman" w:hAnsi="Times New Roman"/>
            <w:noProof/>
            <w:sz w:val="28"/>
            <w:szCs w:val="28"/>
          </w:rPr>
          <w:t>1</w:t>
        </w:r>
        <w:r w:rsidRPr="002041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41FB" w:rsidRDefault="00204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484"/>
    <w:multiLevelType w:val="hybridMultilevel"/>
    <w:tmpl w:val="465C94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3A"/>
    <w:multiLevelType w:val="hybridMultilevel"/>
    <w:tmpl w:val="D05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B92"/>
    <w:multiLevelType w:val="hybridMultilevel"/>
    <w:tmpl w:val="40324DC2"/>
    <w:lvl w:ilvl="0" w:tplc="0AE2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E08C4"/>
    <w:multiLevelType w:val="hybridMultilevel"/>
    <w:tmpl w:val="7424203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D"/>
    <w:rsid w:val="00010762"/>
    <w:rsid w:val="00011CFF"/>
    <w:rsid w:val="000135A6"/>
    <w:rsid w:val="00013E61"/>
    <w:rsid w:val="00050F88"/>
    <w:rsid w:val="00055968"/>
    <w:rsid w:val="00065258"/>
    <w:rsid w:val="000839D0"/>
    <w:rsid w:val="00090BEB"/>
    <w:rsid w:val="000A1485"/>
    <w:rsid w:val="000A1C36"/>
    <w:rsid w:val="000B4824"/>
    <w:rsid w:val="000B719A"/>
    <w:rsid w:val="000C6CE4"/>
    <w:rsid w:val="000D2A0A"/>
    <w:rsid w:val="000D75D5"/>
    <w:rsid w:val="000E170D"/>
    <w:rsid w:val="000E25AE"/>
    <w:rsid w:val="000F70C9"/>
    <w:rsid w:val="00107AC7"/>
    <w:rsid w:val="00111082"/>
    <w:rsid w:val="0014408D"/>
    <w:rsid w:val="00146347"/>
    <w:rsid w:val="001B2B58"/>
    <w:rsid w:val="001C7B3A"/>
    <w:rsid w:val="001C7DAD"/>
    <w:rsid w:val="002041FB"/>
    <w:rsid w:val="00212924"/>
    <w:rsid w:val="00222027"/>
    <w:rsid w:val="002315EC"/>
    <w:rsid w:val="002754BD"/>
    <w:rsid w:val="0027788B"/>
    <w:rsid w:val="002928A4"/>
    <w:rsid w:val="002A2258"/>
    <w:rsid w:val="002A484B"/>
    <w:rsid w:val="002C157F"/>
    <w:rsid w:val="00306E21"/>
    <w:rsid w:val="003325CE"/>
    <w:rsid w:val="003355EA"/>
    <w:rsid w:val="003411FC"/>
    <w:rsid w:val="0034518A"/>
    <w:rsid w:val="00357212"/>
    <w:rsid w:val="00367E3A"/>
    <w:rsid w:val="00386C07"/>
    <w:rsid w:val="003A2874"/>
    <w:rsid w:val="003A7229"/>
    <w:rsid w:val="003C4F21"/>
    <w:rsid w:val="003D6033"/>
    <w:rsid w:val="003E2442"/>
    <w:rsid w:val="00446651"/>
    <w:rsid w:val="0045251B"/>
    <w:rsid w:val="00456551"/>
    <w:rsid w:val="00460728"/>
    <w:rsid w:val="00460E26"/>
    <w:rsid w:val="00493739"/>
    <w:rsid w:val="004A0A10"/>
    <w:rsid w:val="004A4809"/>
    <w:rsid w:val="004B0B34"/>
    <w:rsid w:val="004B7593"/>
    <w:rsid w:val="005035CD"/>
    <w:rsid w:val="00506750"/>
    <w:rsid w:val="0050726E"/>
    <w:rsid w:val="005122E5"/>
    <w:rsid w:val="005247D4"/>
    <w:rsid w:val="00547D80"/>
    <w:rsid w:val="005605D1"/>
    <w:rsid w:val="0057094C"/>
    <w:rsid w:val="0057134B"/>
    <w:rsid w:val="00594D3B"/>
    <w:rsid w:val="005A03A9"/>
    <w:rsid w:val="005A644D"/>
    <w:rsid w:val="005A7C4B"/>
    <w:rsid w:val="005B1D61"/>
    <w:rsid w:val="005D70A9"/>
    <w:rsid w:val="0060008F"/>
    <w:rsid w:val="00622540"/>
    <w:rsid w:val="00627ABE"/>
    <w:rsid w:val="006626E8"/>
    <w:rsid w:val="00672438"/>
    <w:rsid w:val="00681038"/>
    <w:rsid w:val="0069467A"/>
    <w:rsid w:val="006B0645"/>
    <w:rsid w:val="006B2BF7"/>
    <w:rsid w:val="006B75EB"/>
    <w:rsid w:val="006B7A9D"/>
    <w:rsid w:val="006C59BD"/>
    <w:rsid w:val="006D4F52"/>
    <w:rsid w:val="006D6BAE"/>
    <w:rsid w:val="006E0199"/>
    <w:rsid w:val="006E54DB"/>
    <w:rsid w:val="006E6026"/>
    <w:rsid w:val="006E603C"/>
    <w:rsid w:val="00717DF5"/>
    <w:rsid w:val="007407B7"/>
    <w:rsid w:val="00743BD9"/>
    <w:rsid w:val="00747925"/>
    <w:rsid w:val="00756E76"/>
    <w:rsid w:val="007629D3"/>
    <w:rsid w:val="00774A37"/>
    <w:rsid w:val="007769EB"/>
    <w:rsid w:val="00780300"/>
    <w:rsid w:val="00781B99"/>
    <w:rsid w:val="0079298B"/>
    <w:rsid w:val="007A14F1"/>
    <w:rsid w:val="007C6084"/>
    <w:rsid w:val="007D317F"/>
    <w:rsid w:val="00804DB4"/>
    <w:rsid w:val="0081237F"/>
    <w:rsid w:val="00845A42"/>
    <w:rsid w:val="00847F4E"/>
    <w:rsid w:val="00860C60"/>
    <w:rsid w:val="0086600D"/>
    <w:rsid w:val="008741F7"/>
    <w:rsid w:val="00885529"/>
    <w:rsid w:val="0089723C"/>
    <w:rsid w:val="008A0F4E"/>
    <w:rsid w:val="008B0542"/>
    <w:rsid w:val="008B3E24"/>
    <w:rsid w:val="008B5221"/>
    <w:rsid w:val="008C3A6B"/>
    <w:rsid w:val="008D154D"/>
    <w:rsid w:val="008D6A38"/>
    <w:rsid w:val="008E421C"/>
    <w:rsid w:val="008E53E6"/>
    <w:rsid w:val="008F5244"/>
    <w:rsid w:val="00905AA3"/>
    <w:rsid w:val="0093018B"/>
    <w:rsid w:val="00950B91"/>
    <w:rsid w:val="0097367C"/>
    <w:rsid w:val="0097411C"/>
    <w:rsid w:val="00974291"/>
    <w:rsid w:val="0097590B"/>
    <w:rsid w:val="00980F58"/>
    <w:rsid w:val="009903E3"/>
    <w:rsid w:val="00994961"/>
    <w:rsid w:val="009A0F8D"/>
    <w:rsid w:val="009A5D5F"/>
    <w:rsid w:val="009C2A48"/>
    <w:rsid w:val="009C3D07"/>
    <w:rsid w:val="009D555D"/>
    <w:rsid w:val="009E5EB7"/>
    <w:rsid w:val="009E76BF"/>
    <w:rsid w:val="009E7984"/>
    <w:rsid w:val="009F020F"/>
    <w:rsid w:val="009F65DC"/>
    <w:rsid w:val="00A00BFE"/>
    <w:rsid w:val="00A21DD4"/>
    <w:rsid w:val="00A22FE6"/>
    <w:rsid w:val="00A25D7D"/>
    <w:rsid w:val="00A440ED"/>
    <w:rsid w:val="00A45EC0"/>
    <w:rsid w:val="00A91F82"/>
    <w:rsid w:val="00AA09B5"/>
    <w:rsid w:val="00AA40CA"/>
    <w:rsid w:val="00AA42EB"/>
    <w:rsid w:val="00AD3B81"/>
    <w:rsid w:val="00AD43D0"/>
    <w:rsid w:val="00AF07F2"/>
    <w:rsid w:val="00AF53C8"/>
    <w:rsid w:val="00B039E4"/>
    <w:rsid w:val="00B16359"/>
    <w:rsid w:val="00B27C25"/>
    <w:rsid w:val="00B43AC6"/>
    <w:rsid w:val="00BA4C14"/>
    <w:rsid w:val="00BC62A4"/>
    <w:rsid w:val="00BC7C83"/>
    <w:rsid w:val="00BD5968"/>
    <w:rsid w:val="00BE21D0"/>
    <w:rsid w:val="00BE4315"/>
    <w:rsid w:val="00BF28B2"/>
    <w:rsid w:val="00BF5B4C"/>
    <w:rsid w:val="00C4307E"/>
    <w:rsid w:val="00C450E5"/>
    <w:rsid w:val="00C66468"/>
    <w:rsid w:val="00C75B1E"/>
    <w:rsid w:val="00C75C16"/>
    <w:rsid w:val="00C80C46"/>
    <w:rsid w:val="00CA1988"/>
    <w:rsid w:val="00CA42DC"/>
    <w:rsid w:val="00CC36EA"/>
    <w:rsid w:val="00CE20BC"/>
    <w:rsid w:val="00CE7B12"/>
    <w:rsid w:val="00CF36D4"/>
    <w:rsid w:val="00CF60E5"/>
    <w:rsid w:val="00D01E64"/>
    <w:rsid w:val="00D051EE"/>
    <w:rsid w:val="00D157D3"/>
    <w:rsid w:val="00D21128"/>
    <w:rsid w:val="00D21DC3"/>
    <w:rsid w:val="00D30B16"/>
    <w:rsid w:val="00D43581"/>
    <w:rsid w:val="00D9053A"/>
    <w:rsid w:val="00D91BE3"/>
    <w:rsid w:val="00DB09F8"/>
    <w:rsid w:val="00DD193D"/>
    <w:rsid w:val="00E06C40"/>
    <w:rsid w:val="00E209DF"/>
    <w:rsid w:val="00E45DCC"/>
    <w:rsid w:val="00E54881"/>
    <w:rsid w:val="00E573E6"/>
    <w:rsid w:val="00E775A3"/>
    <w:rsid w:val="00E83EDB"/>
    <w:rsid w:val="00E87412"/>
    <w:rsid w:val="00E97775"/>
    <w:rsid w:val="00EA18B9"/>
    <w:rsid w:val="00EA7D2F"/>
    <w:rsid w:val="00EC15EB"/>
    <w:rsid w:val="00ED0E79"/>
    <w:rsid w:val="00ED711C"/>
    <w:rsid w:val="00ED7A9C"/>
    <w:rsid w:val="00EE462B"/>
    <w:rsid w:val="00EE47DA"/>
    <w:rsid w:val="00EE636D"/>
    <w:rsid w:val="00EE6BE1"/>
    <w:rsid w:val="00EE7F34"/>
    <w:rsid w:val="00F00824"/>
    <w:rsid w:val="00F50AFF"/>
    <w:rsid w:val="00F75E0F"/>
    <w:rsid w:val="00FA1B1E"/>
    <w:rsid w:val="00FA3526"/>
    <w:rsid w:val="00FD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1867-2D76-4A22-ACC6-9607675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3" TargetMode="External"/><Relationship Id="rId13" Type="http://schemas.openxmlformats.org/officeDocument/2006/relationships/hyperlink" Target="http://www.adilet.zan.kz/rus/docs/K1400000235" TargetMode="External"/><Relationship Id="rId18" Type="http://schemas.openxmlformats.org/officeDocument/2006/relationships/hyperlink" Target="http://www.adilet.zan.kz/rus/docs/K140000023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ilet.zan.kz/rus/docs/K14000002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400000235" TargetMode="External"/><Relationship Id="rId17" Type="http://schemas.openxmlformats.org/officeDocument/2006/relationships/hyperlink" Target="http://www.adilet.zan.kz/rus/docs/K140000023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ilet.zan.kz/rus/docs/K1400000235" TargetMode="External"/><Relationship Id="rId20" Type="http://schemas.openxmlformats.org/officeDocument/2006/relationships/hyperlink" Target="http://www.adilet.zan.kz/rus/docs/K14000002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40000023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400000235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dilet.zan.kz/rus/docs/K1400000235" TargetMode="External"/><Relationship Id="rId19" Type="http://schemas.openxmlformats.org/officeDocument/2006/relationships/hyperlink" Target="http://www.adilet.zan.kz/rus/docs/K140000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1400000235" TargetMode="External"/><Relationship Id="rId14" Type="http://schemas.openxmlformats.org/officeDocument/2006/relationships/hyperlink" Target="http://www.adilet.zan.kz/rus/docs/K140000023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A1F3-4929-444F-A80F-F07A6BCC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26</cp:revision>
  <cp:lastPrinted>2015-06-12T03:50:00Z</cp:lastPrinted>
  <dcterms:created xsi:type="dcterms:W3CDTF">2015-04-24T12:57:00Z</dcterms:created>
  <dcterms:modified xsi:type="dcterms:W3CDTF">2019-01-21T04:43:00Z</dcterms:modified>
</cp:coreProperties>
</file>