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4D" w:rsidRPr="00E1144D" w:rsidRDefault="00E1144D" w:rsidP="00D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КОЛЛЕГИИ ЕВРАЗИЙСК</w:t>
      </w:r>
      <w:bookmarkStart w:id="0" w:name="_GoBack"/>
      <w:bookmarkEnd w:id="0"/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ЭКОНОМИЧЕСКОЙ КОМИССИИ</w:t>
      </w:r>
    </w:p>
    <w:p w:rsidR="00E1144D" w:rsidRPr="00E1144D" w:rsidRDefault="00E1144D" w:rsidP="00E1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2019 г. № 221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Комиссии Таможенного союза от 23 сентября 2011 г. № 798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Протокола о техническом регулировании в рамках Евразийского экономического союза (приложение № 9 к Договору о Евразийском экономическом союзе от 29 мая 2014 года) и пунктом 5 приложения № 2 к Регламенту работы Евразийской экономической комиссии, утвержденному Решением Высшего Евразийского экономического совета от 23 декабря 2014 г. № 98, Коллегия Евразийской экономической комиссии РЕШИЛА: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в Решение Комиссии Таможенного союза от 23 сентября 2011 г. № 798 «О принятии технического регламента Таможенного союза «О безопасности игрушек» изменения согласно приложению.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 истечении 30 календарных дней с даты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1144D" w:rsidRPr="00E1144D" w:rsidTr="00E114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Коллегии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Т.Саркисян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831"/>
      </w:tblGrid>
      <w:tr w:rsidR="00E1144D" w:rsidRPr="00E1144D" w:rsidTr="00E1144D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Коллегии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декабря 2019 г. № 221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вносимые в Решение Комиссии Таможенного союза от 23 сентября 2011 г. № 798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пунктах 2.1 и 2.2 слова «Перечень стандартов» заменить словами «Перечень международных и региональных (межгосударственных) стандартов, а в случае их отсутствия – национальных (государственных) стандартов».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игрушек» (ТР ТС 008/2011), утвержденный указанным Решением, изложить в следующей редакции: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831"/>
      </w:tblGrid>
      <w:tr w:rsidR="00E1144D" w:rsidRPr="00E1144D" w:rsidTr="00E1144D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</w:t>
            </w:r>
          </w:p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Комиссии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Таможенного союза</w:t>
            </w:r>
          </w:p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23 сентября 2011 г. № 798</w:t>
            </w:r>
          </w:p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Коллегии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</w:p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декабря 2019 г. № 221)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международных и региональных (межгосударственных) стандартов, а в случае их отсутствия 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игрушек»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 ТС 008/2011)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681"/>
        <w:gridCol w:w="4296"/>
        <w:gridCol w:w="1950"/>
      </w:tblGrid>
      <w:tr w:rsidR="00E1144D" w:rsidRPr="00E1144D" w:rsidTr="00E1144D">
        <w:trPr>
          <w:trHeight w:val="240"/>
        </w:trPr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2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наименование стандарта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3.2 (абзацы 1–15, 17 и 18), 4 и 5 статьи 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71-1-2014 «Игрушки. Требования безопасности. Часть 1. Механические и физические свойства»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71-8-2014 «Игрушки. Требования безопасности. Часть 8. Игрушки для активного отдыха для домашнего использования»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71-14-2018 «Игрушки. Требования безопасности. Часть 14. Батуты для домашнего использования»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01.04.2021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(абзацы 1–5) и 3.2 (абзацы 13, 16, 20, 23 и 24) статьи 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1.2, 1.3, 2.1.10, 2.13.7, 2.30.1–2.30.6, 2.31 ГОСТ 25779-90 «Игрушки. Общие требования безопасности и методы контроля»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 ГОСТ EN 71-1-2014 «Игрушки. Требования безопасности. Часть 1. Механические и физические свойства»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3.3 статьи 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8124-2-2014 «Безопасность игрушек. Часть 2. Воспламеняемость»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71-1-2014 «Игрушки. Требования безопасности. Часть 1. Механические и физические свойства»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3.4 и 3.5 статьи 4, приложение 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8124-3-2014 «Безопасность игрушек. Часть 3. Миграция химических элементов»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71-4-2014 «Игрушки. Требования безопасности. Часть 4. Наборы для химических опытов и аналогичных занятий»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71-5-2014 «Игрушки. Требования безопасности. Часть 5. Игровые комплекты (наборы), включающие химические вещества и не относящиеся к наборам для проведения химических опытов»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01.04.2021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71-5-2018 «Игрушки. Требования безопасности. Часть 5. Игровые наборы, включающие химические вещества и не относящиеся к наборам для проведения химических опытов»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71-7-2014 «Игрушки. Требования безопасности. Часть 7. Краски для рисования пальцами. Технические требования и методы испытаний»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71-13-2018 «Игрушки. Требования безопасности. Часть 13. Настольные игры для развития обоняния, наборы для изготовления парфюмерно-косметической продукции и вкусовые игры»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01.04.2021».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3.2 (абзац 25), 3.6 и 5 статьи 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IEC 62115-2014 «Игрушки электрические. Безопасность»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 (абзац 26) статьи 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IEC 60825-1-2013 «Безопасность лазерной аппаратуры. Часть 1. Классификация оборудования, требования и руководство для пользователей»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 статьи 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71-1-2014 «Игрушки. Требования безопасности. Часть 1. Механические и физические свойства»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(абзац 6) и 3.2 (абзац 22) статьи 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25779-90 «Игрушки. Общие требования безопасности и методы контроля»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игрушек» (ТР ТС 008/2011) и осуществления оценки соответствия объектов технического регулирования, утвержденном указанным Решением: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наименовании слова «Перечень стандартов» заменить словами «Перечень международных и региональных (межгосударственных) стандартов, а в случае их отсутствия – национальных (государственных) стандартов»;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позиции 2, 21, 30, 40 и 75 исключить;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позицию 4 изложить в следующей редакции: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729"/>
        <w:gridCol w:w="2006"/>
        <w:gridCol w:w="3619"/>
        <w:gridCol w:w="1585"/>
      </w:tblGrid>
      <w:tr w:rsidR="00E1144D" w:rsidRPr="00E1144D" w:rsidTr="00E1144D">
        <w:trPr>
          <w:trHeight w:val="238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18321-73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контроль качества. Методы случайного отбора выборок штучной продукции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01.04.2021»;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дополнить позицией 4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729"/>
        <w:gridCol w:w="2006"/>
        <w:gridCol w:w="3619"/>
        <w:gridCol w:w="1585"/>
      </w:tblGrid>
      <w:tr w:rsidR="00E1144D" w:rsidRPr="00E1144D" w:rsidTr="00E1144D">
        <w:trPr>
          <w:trHeight w:val="238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34446-2018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Отбор образцов»;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позиции 16–19 изложить в следующей редакции: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729"/>
        <w:gridCol w:w="2006"/>
        <w:gridCol w:w="3619"/>
        <w:gridCol w:w="1585"/>
      </w:tblGrid>
      <w:tr w:rsidR="00E1144D" w:rsidRPr="00E1144D" w:rsidTr="00E1144D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</w:t>
            </w:r>
          </w:p>
        </w:tc>
        <w:tc>
          <w:tcPr>
            <w:tcW w:w="9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3.2 (абзацы 1–15, 17, 18 и 21), 4 и 5 статьи 4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71-1-2014</w:t>
            </w:r>
          </w:p>
        </w:tc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Требования безопасности. Часть 1. Механические и физические свойства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71-8-2014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Требования безопасности. Часть 8. Игрушки для активного отдыха для домашнего использования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71-14-2018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Требования безопасности. Часть 14. Батуты для домашнего использования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01.04.2021»;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(абзацы 1–4, 6) и 3.2 (абзацы 16, 20, 22, 23 и 24) статьи 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25779-90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Общие требования безопасности и методы контроля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позицию 23 изложить в следующей редакции: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729"/>
        <w:gridCol w:w="2006"/>
        <w:gridCol w:w="3619"/>
        <w:gridCol w:w="1585"/>
      </w:tblGrid>
      <w:tr w:rsidR="00E1144D" w:rsidRPr="00E1144D" w:rsidTr="00E1144D">
        <w:trPr>
          <w:trHeight w:val="240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71-4-2014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Требования безопасности. Часть 4. Наборы для химических опытов и аналогичных занятий»;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дополнить позицией 23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23"/>
        <w:gridCol w:w="2000"/>
        <w:gridCol w:w="3613"/>
        <w:gridCol w:w="1579"/>
      </w:tblGrid>
      <w:tr w:rsidR="00E1144D" w:rsidRPr="00E1144D" w:rsidTr="00E1144D">
        <w:trPr>
          <w:trHeight w:val="240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71-5-2018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Требования безопасности. Часть 5. Игровые наборы, включающие химические вещества и не относящиеся к наборам для проведения химических опытов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01.04.2021»;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позицию 25 изложить в следующей редакции: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729"/>
        <w:gridCol w:w="2006"/>
        <w:gridCol w:w="3619"/>
        <w:gridCol w:w="1585"/>
      </w:tblGrid>
      <w:tr w:rsidR="00E1144D" w:rsidRPr="00E1144D" w:rsidTr="00E1144D">
        <w:trPr>
          <w:trHeight w:val="238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71-13-2018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Требования безопасности. Часть 13. Настольные игры для развития обоняния, наборы для изготовления парфюмерно-косметической продукции и вкусовые игры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01.04.2021»;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позицию 27 в графе 5 дополнить словами «применяется до 01.04.2021»;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дополнить позицией 27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23"/>
        <w:gridCol w:w="2000"/>
        <w:gridCol w:w="3613"/>
        <w:gridCol w:w="1579"/>
      </w:tblGrid>
      <w:tr w:rsidR="00E1144D" w:rsidRPr="00E1144D" w:rsidTr="00E1144D">
        <w:trPr>
          <w:trHeight w:val="238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71-5-2018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Требования безопасности. Часть 5. Игровые наборы, включающие химические вещества и не относящиеся к наборам для проведения химических опытов;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в позиции 33 в графе 5 слова «применяется с даты вступления в силу Решения Совета Евразийской экономической комиссии от 17 марта 2017 г. № 12» исключить;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м) позиции 34 и 35 в графе 5 дополнить словами «применяется до 01.12.2020»;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н) дополнить позициями 34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35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23"/>
        <w:gridCol w:w="2000"/>
        <w:gridCol w:w="3613"/>
        <w:gridCol w:w="1579"/>
      </w:tblGrid>
      <w:tr w:rsidR="00E1144D" w:rsidRPr="00E1144D" w:rsidTr="00E1144D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«34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7218-2015</w:t>
            </w:r>
          </w:p>
        </w:tc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 пищевых продуктов и кормов для животных. Общие требования и 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микробиологическим исследованиям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16000-6-2016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Tenax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 последующей термической десорбцией и газохроматографическим анализом с использованием МСД/ПИД»;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о) позиции 120–123 в графе 5 дополнить словами «применяется до 01.04.2021»;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п) дополнить позициями 123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–123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475"/>
        <w:gridCol w:w="1752"/>
        <w:gridCol w:w="3366"/>
        <w:gridCol w:w="2202"/>
      </w:tblGrid>
      <w:tr w:rsidR="00E1144D" w:rsidRPr="00E1144D" w:rsidTr="00E1144D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«123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4.1.3166-14*</w:t>
            </w:r>
          </w:p>
        </w:tc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Газохроматографическое определение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гептана, ацетальдегида, ацетона,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этилацетата, метанола,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изопропанола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акрилонитрила, н-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пропанола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изобутанола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н-бутанола, бензола, толуола, этилбензола, м-, о- и п-ксилолов, изопропилбензола, стирола, a-метилстирола в воде и водных вытяжках из материалов различного состава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аттестации № 01.00282-2008/0153.16.01.13, номер в реестре ФР.1.31.2013.16740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4.1.3167-14*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Газохроматографическое определение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гептана, бензола, толуола, этилбензола, м-, о-, п-ксилолов, изопропилбензола, н-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пропилбензола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стирола, a-метилстирола,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бензальдегида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атмосферном воздухе, воздухе испытательной камеры и замкнутых помещений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аттестации № 01.00282-2008/0155.16.01.13, номер в реестре ФР.1.31.2013.16742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4.1.3168-14*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Газохроматографическое определение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диметилтерефталата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бутилбензилфталата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бис(2-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этилгексил)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атмосферном воздухе, воздухе испытательной камеры и замкнутых помещений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с 01.04.2021,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об аттестации № 01.00282-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2008/0146.14.12.12 от 14.12.2012, номер в реестре ФР.1.31.2013.16763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4.1.3169-14*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Газохроматографическое определение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диметилтерефталата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бутилбензилфталата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бис(2-этилгексил)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воде водных вытяжках из материалов различного состава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аттестации № 01.00282-2008/0147.16.01.13, номер в реестре ФР.1.31.2013.16764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4.1.3170-14*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Газохроматографическое определение ацетальдегида, ацетона,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этилацетата, метанола, изо-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пропанола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этанола, н-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пропанола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изо-бутанола, н-бутанола в атмосферном воздухе, воздухе испытательной камеры и замкнутых помещений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аттестации № 01.00282-2008/0154.16.01.13, номер в реестре ФР.1.31.2013.16741</w:t>
            </w:r>
          </w:p>
        </w:tc>
      </w:tr>
      <w:tr w:rsidR="00E1144D" w:rsidRPr="00E1144D" w:rsidTr="00E1144D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4D" w:rsidRPr="00E1144D" w:rsidRDefault="00E1144D" w:rsidP="00E1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4.1.3171-14*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Газохроматографическое определение ацетальдегида, ацетона,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метилацетата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метанола, этанола,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метилакрилата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метилметакрилата,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этилакрилата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изо-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бутилметакрилата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толуола, стирола, a-метилстирола в воде и водных вытяжках из материалов различного состава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аттестации № 01.00282-2008/0160.19.03.13, номер в реестре ФР.1.31.2013.16751»;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р) позицию 134 в графе 5 дополнить словами «применяется до 01.12.2020»;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с) дополнить позицией 134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475"/>
        <w:gridCol w:w="1752"/>
        <w:gridCol w:w="3366"/>
        <w:gridCol w:w="2202"/>
      </w:tblGrid>
      <w:tr w:rsidR="00E1144D" w:rsidRPr="00E1144D" w:rsidTr="00E1144D">
        <w:trPr>
          <w:trHeight w:val="238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«134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52.24.488-2006*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летучих фенолов в водах. Методика выполнения изменений экстракционно-фотометрическим методом после отгонки с паром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аттестации № 143.24-2006 от 30.01.2006, номер в реестре ФР.1.31.2007.03466»;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т) дополнить позицией 146</w:t>
      </w:r>
      <w:r w:rsidRPr="00E11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466"/>
        <w:gridCol w:w="1744"/>
        <w:gridCol w:w="3357"/>
        <w:gridCol w:w="2228"/>
      </w:tblGrid>
      <w:tr w:rsidR="00E1144D" w:rsidRPr="00E1144D" w:rsidTr="00E1144D">
        <w:trPr>
          <w:trHeight w:val="238"/>
        </w:trPr>
        <w:tc>
          <w:tcPr>
            <w:tcW w:w="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«146</w:t>
            </w: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14.1:2:4.211-05*</w:t>
            </w: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выполнения измерений массовой концентрации </w:t>
            </w:r>
            <w:proofErr w:type="spellStart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капролактама</w:t>
            </w:r>
            <w:proofErr w:type="spellEnd"/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пробах природных и сточных вод газохроматографическим методом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44D" w:rsidRPr="00E1144D" w:rsidRDefault="00E1144D" w:rsidP="00E11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аттестации № 224.01.11.083/2004 от 23.04.2004, номер в реестре ФР.1.31.2013.13995».</w:t>
            </w:r>
          </w:p>
        </w:tc>
      </w:tr>
    </w:tbl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44D" w:rsidRPr="00E1144D" w:rsidRDefault="00E1144D" w:rsidP="00E1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1144D" w:rsidRPr="00E1144D" w:rsidSect="00F7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44B"/>
    <w:multiLevelType w:val="multilevel"/>
    <w:tmpl w:val="0EC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267F5"/>
    <w:multiLevelType w:val="multilevel"/>
    <w:tmpl w:val="CFB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75F5"/>
    <w:multiLevelType w:val="multilevel"/>
    <w:tmpl w:val="25AE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C0D1B"/>
    <w:multiLevelType w:val="multilevel"/>
    <w:tmpl w:val="DAA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66E"/>
    <w:rsid w:val="001C0BE7"/>
    <w:rsid w:val="0060166E"/>
    <w:rsid w:val="00645024"/>
    <w:rsid w:val="006A0FA8"/>
    <w:rsid w:val="0082631B"/>
    <w:rsid w:val="00956ED6"/>
    <w:rsid w:val="009F52DA"/>
    <w:rsid w:val="00A6171A"/>
    <w:rsid w:val="00B7629F"/>
    <w:rsid w:val="00D62662"/>
    <w:rsid w:val="00DC371D"/>
    <w:rsid w:val="00E1144D"/>
    <w:rsid w:val="00F76C9B"/>
    <w:rsid w:val="00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E8B"/>
  <w15:docId w15:val="{4B931C57-7335-4C6A-8B9D-22AE0834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9B"/>
  </w:style>
  <w:style w:type="paragraph" w:styleId="2">
    <w:name w:val="heading 2"/>
    <w:basedOn w:val="a"/>
    <w:link w:val="20"/>
    <w:uiPriority w:val="9"/>
    <w:qFormat/>
    <w:rsid w:val="00E11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11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144D"/>
  </w:style>
  <w:style w:type="character" w:customStyle="1" w:styleId="promulgator">
    <w:name w:val="promulgator"/>
    <w:basedOn w:val="a0"/>
    <w:rsid w:val="00E1144D"/>
  </w:style>
  <w:style w:type="paragraph" w:customStyle="1" w:styleId="newncpi">
    <w:name w:val="newncpi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1144D"/>
  </w:style>
  <w:style w:type="character" w:customStyle="1" w:styleId="number">
    <w:name w:val="number"/>
    <w:basedOn w:val="a0"/>
    <w:rsid w:val="00E1144D"/>
  </w:style>
  <w:style w:type="paragraph" w:customStyle="1" w:styleId="titlencpi">
    <w:name w:val="titlencpi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1144D"/>
  </w:style>
  <w:style w:type="character" w:customStyle="1" w:styleId="pers">
    <w:name w:val="pers"/>
    <w:basedOn w:val="a0"/>
    <w:rsid w:val="00E1144D"/>
  </w:style>
  <w:style w:type="paragraph" w:customStyle="1" w:styleId="append1">
    <w:name w:val="append1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E1144D"/>
  </w:style>
  <w:style w:type="paragraph" w:customStyle="1" w:styleId="titleu">
    <w:name w:val="titleu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E1144D"/>
  </w:style>
  <w:style w:type="paragraph" w:styleId="a3">
    <w:name w:val="Normal (Web)"/>
    <w:basedOn w:val="a"/>
    <w:uiPriority w:val="99"/>
    <w:semiHidden/>
    <w:unhideWhenUsed/>
    <w:rsid w:val="00E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44D"/>
    <w:rPr>
      <w:color w:val="0000FF"/>
      <w:u w:val="single"/>
    </w:rPr>
  </w:style>
  <w:style w:type="character" w:customStyle="1" w:styleId="clear">
    <w:name w:val="clear"/>
    <w:basedOn w:val="a0"/>
    <w:rsid w:val="00E1144D"/>
  </w:style>
  <w:style w:type="paragraph" w:styleId="a5">
    <w:name w:val="Balloon Text"/>
    <w:basedOn w:val="a"/>
    <w:link w:val="a6"/>
    <w:uiPriority w:val="99"/>
    <w:semiHidden/>
    <w:unhideWhenUsed/>
    <w:rsid w:val="00E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0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1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8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6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78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31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Анжелика</dc:creator>
  <cp:lastModifiedBy>Замятин Сергей</cp:lastModifiedBy>
  <cp:revision>8</cp:revision>
  <dcterms:created xsi:type="dcterms:W3CDTF">2019-12-30T05:09:00Z</dcterms:created>
  <dcterms:modified xsi:type="dcterms:W3CDTF">2020-01-05T02:59:00Z</dcterms:modified>
</cp:coreProperties>
</file>