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0E" w:rsidRDefault="00DE240E" w:rsidP="003E018C">
      <w:pPr>
        <w:pStyle w:val="3"/>
        <w:jc w:val="center"/>
        <w:rPr>
          <w:rFonts w:ascii="Times New Roman" w:hAnsi="Times New Roman"/>
          <w:b w:val="0"/>
          <w:bCs w:val="0"/>
          <w:iCs/>
          <w:lang w:val="kk-KZ"/>
        </w:rPr>
      </w:pPr>
      <w:r>
        <w:rPr>
          <w:rFonts w:ascii="Times New Roman" w:hAnsi="Times New Roman"/>
          <w:noProof/>
          <w:lang w:val="kk-KZ"/>
        </w:rPr>
        <w:t>«</w:t>
      </w:r>
      <w:r>
        <w:rPr>
          <w:rFonts w:ascii="Times New Roman" w:hAnsi="Times New Roman"/>
          <w:lang w:val="kk-KZ"/>
        </w:rPr>
        <w:t>Б» корпусының бос төменгі әкімшілік мемлекеттік лауазымдарға орналасуға жалпы конкурс жариялайды</w:t>
      </w:r>
      <w:r w:rsidR="003E018C">
        <w:rPr>
          <w:rFonts w:ascii="Times New Roman" w:hAnsi="Times New Roman"/>
          <w:lang w:val="kk-KZ"/>
        </w:rPr>
        <w:t xml:space="preserve"> </w:t>
      </w:r>
      <w:r>
        <w:rPr>
          <w:rFonts w:ascii="Times New Roman" w:hAnsi="Times New Roman"/>
          <w:lang w:val="kk-KZ"/>
        </w:rPr>
        <w:t xml:space="preserve">«Қостанай облысы бойынша Мемлекеттік кірістер  департаментінің Арқалық қаласы бойынша Мемлекеттік кірістер басқармасы» РММ, 110600, Қостанай облысы, Арқалық қаласы, Абай көшесі, 29 үй, анықтама телефоны: (871430)7-17-35, электрондық мекенжайы </w:t>
      </w:r>
      <w:hyperlink r:id="rId5" w:history="1">
        <w:r>
          <w:rPr>
            <w:rStyle w:val="a3"/>
            <w:rFonts w:ascii="Calibri" w:hAnsi="Calibri"/>
            <w:lang w:val="kk-KZ"/>
          </w:rPr>
          <w:t>nk3925@taxkost.mgd.kz</w:t>
        </w:r>
      </w:hyperlink>
      <w:r>
        <w:rPr>
          <w:rFonts w:ascii="Times New Roman" w:hAnsi="Times New Roman"/>
          <w:lang w:val="kk-KZ"/>
        </w:rPr>
        <w:t xml:space="preserve">, </w:t>
      </w:r>
      <w:hyperlink r:id="rId6" w:history="1">
        <w:r>
          <w:rPr>
            <w:rStyle w:val="a3"/>
            <w:rFonts w:ascii="Calibri" w:hAnsi="Calibri"/>
            <w:iCs/>
            <w:lang w:val="kk-KZ"/>
          </w:rPr>
          <w:t>a.alshymbaeva@kgd.gov.kz</w:t>
        </w:r>
      </w:hyperlink>
      <w:r>
        <w:rPr>
          <w:rFonts w:ascii="Times New Roman" w:hAnsi="Times New Roman"/>
          <w:lang w:val="kk-KZ"/>
        </w:rPr>
        <w:t>.</w:t>
      </w:r>
      <w:r>
        <w:rPr>
          <w:rFonts w:ascii="Times New Roman" w:hAnsi="Times New Roman"/>
          <w:iCs/>
          <w:lang w:val="kk-KZ"/>
        </w:rPr>
        <w:t xml:space="preserve"> корпусының төменгі бос мемлекеттік әкімшілік лауазымдарына орналасу үшін жалпы конкурс жариялайды: </w:t>
      </w:r>
    </w:p>
    <w:p w:rsidR="00DE240E" w:rsidRDefault="00DE240E" w:rsidP="00DE240E">
      <w:pPr>
        <w:pStyle w:val="a6"/>
        <w:ind w:firstLine="567"/>
        <w:jc w:val="both"/>
        <w:rPr>
          <w:bCs/>
          <w:iCs/>
          <w:sz w:val="26"/>
          <w:szCs w:val="26"/>
          <w:lang w:val="kk-KZ"/>
        </w:rPr>
      </w:pPr>
      <w:r>
        <w:rPr>
          <w:bCs/>
          <w:iCs/>
          <w:sz w:val="26"/>
          <w:szCs w:val="26"/>
          <w:lang w:val="kk-KZ"/>
        </w:rPr>
        <w:t>Лауазымдық жалақысы қызмет атқарған жылдарына байланысты 73 288 теңгеден 99 106 теңгеге дейін.</w:t>
      </w:r>
    </w:p>
    <w:p w:rsidR="00DE240E" w:rsidRDefault="00DE240E" w:rsidP="00DE240E">
      <w:pPr>
        <w:pStyle w:val="a6"/>
        <w:jc w:val="both"/>
        <w:rPr>
          <w:b/>
          <w:sz w:val="26"/>
          <w:szCs w:val="26"/>
          <w:lang w:val="kk-KZ"/>
        </w:rPr>
      </w:pPr>
    </w:p>
    <w:p w:rsidR="00DE240E" w:rsidRDefault="00DE240E" w:rsidP="00DE240E">
      <w:pPr>
        <w:pStyle w:val="a6"/>
        <w:jc w:val="both"/>
        <w:rPr>
          <w:b/>
          <w:sz w:val="26"/>
          <w:szCs w:val="26"/>
          <w:lang w:val="kk-KZ"/>
        </w:rPr>
      </w:pPr>
      <w:r>
        <w:rPr>
          <w:b/>
          <w:sz w:val="26"/>
          <w:szCs w:val="26"/>
          <w:lang w:val="kk-KZ"/>
        </w:rPr>
        <w:t xml:space="preserve">Салық төлеушілермен жұмыс бөлімінің бас маманы, C-R-4 санаты, </w:t>
      </w:r>
      <w:r>
        <w:rPr>
          <w:b/>
          <w:bCs/>
          <w:sz w:val="26"/>
          <w:szCs w:val="26"/>
          <w:lang w:val="kk-KZ"/>
        </w:rPr>
        <w:t>1 бірлік</w:t>
      </w:r>
      <w:r>
        <w:rPr>
          <w:b/>
          <w:sz w:val="26"/>
          <w:szCs w:val="26"/>
          <w:lang w:val="kk-KZ"/>
        </w:rPr>
        <w:t xml:space="preserve">. </w:t>
      </w:r>
    </w:p>
    <w:p w:rsidR="00DE240E" w:rsidRDefault="00DE240E" w:rsidP="00DE240E">
      <w:pPr>
        <w:pStyle w:val="a6"/>
        <w:jc w:val="both"/>
        <w:rPr>
          <w:b/>
          <w:sz w:val="26"/>
          <w:szCs w:val="26"/>
          <w:lang w:val="kk-KZ"/>
        </w:rPr>
      </w:pPr>
    </w:p>
    <w:p w:rsidR="00DE240E" w:rsidRDefault="00DE240E" w:rsidP="00DE240E">
      <w:pPr>
        <w:pStyle w:val="a6"/>
        <w:ind w:firstLine="567"/>
        <w:jc w:val="both"/>
        <w:rPr>
          <w:sz w:val="26"/>
          <w:szCs w:val="26"/>
          <w:lang w:val="kk-KZ"/>
        </w:rPr>
      </w:pPr>
      <w:r>
        <w:rPr>
          <w:b/>
          <w:sz w:val="26"/>
          <w:szCs w:val="26"/>
          <w:lang w:val="kk-KZ"/>
        </w:rPr>
        <w:t>Функционалдық міндеттері:</w:t>
      </w:r>
      <w:r>
        <w:rPr>
          <w:lang w:val="kk-KZ"/>
        </w:rPr>
        <w:t xml:space="preserve"> </w:t>
      </w:r>
      <w:r>
        <w:rPr>
          <w:sz w:val="26"/>
          <w:szCs w:val="26"/>
          <w:lang w:val="kk-KZ"/>
        </w:rPr>
        <w:t>Салық сомаларын есептеу түзетуіне ұсынған салық есебіне талдауды жүргізу, сондай-ақ, есептесулер мен декларацияларды дұрыс  толтыруын, салық төлеушілерге ескертпенің келесі түрлерін жіберудің уақтылығын бақылайды: СК  30 б. 2 т. сәйкес салық органымен есептелген бюджетке салық және басқа міндетті төлемдерінің сомасы туралы, камералдық бақылаудың қорытындылары бойынша анықталған бұзушылықтарды жою туралы,  салық есептемесін уақтылы ұсынбау туралы. Өкілетті органдардан алынған мәліметтерді талдау және өтеу. Жеке сұрақтар  бойынша тематикалық тексерістерді, салық тексеру актілерін жүргізу. Қызмет түрлерінен және акциздеуге жататын тауарлардың айналымы мен өндіруден акциздерін әкімшілік ету бойынша жұмысына жауапкершілік атқару. Бекітілген нысандары бойынша атқарушы органдарынан мәліметтерді уақтылы алуына бақылау жасайды. «Бюджетке салықтар және басқа міндетті төлемдер туралы» ҚР Кодексінің 37-1, 43-бабына сәйкес заңды тұлғаларды, жеке кәсіпкерлерді жоюда салық есебіне камералдық бақылауды жүргізу. Аудандық жер комитетімен, ЖБО, жол полициямен және басқа тіркейтін мемлекеттік органдарымен салық төлеушінің саны бойынша салыстыруды өткізеді, жасау-заңды тұлғалар, жеке тұлғалар- тіркелмегендерді анықтау және салық есепке қою мақсатында. Мемлекеттік кірістер басқармасының басшылығына сәкес материалдарды ұсыну. Қостанай облысы бойынша мемлекеттік кірістер департаментіне белгіленген есептемені ұсыну. Қостанай облысы бойынша мемлекеттік кірістер департаментінің, Арқалық қаласы бойынша мемлекеттік кірістер  басқармасы басшылығының біржолғы және бақылау тапсырмаларын орындау. Салық заңнамасын түсіндіру. 2-Н есептілігін құру мақсатында қажетті мәліметтерді ұсыну. САЭБ АЖ әкімшілік құқықбұзушылықтар туралы хаттамаларды құрастыру. Қызметтік міндеттерін орындау барысында салық төлеушілер туралы болып шыққан мәліметтерінің құпиясын сақтау. Салық  басқармасының қызметшілері үшін белгіленген еңбек және қызметтік тәртібінің қағидаларын сақтау.</w:t>
      </w:r>
    </w:p>
    <w:p w:rsidR="00DE240E" w:rsidRDefault="00DE240E" w:rsidP="00DE240E">
      <w:pPr>
        <w:pStyle w:val="a6"/>
        <w:ind w:firstLine="567"/>
        <w:jc w:val="both"/>
        <w:rPr>
          <w:sz w:val="26"/>
          <w:szCs w:val="26"/>
          <w:lang w:val="kk-KZ"/>
        </w:rPr>
      </w:pPr>
      <w:r>
        <w:rPr>
          <w:b/>
          <w:sz w:val="26"/>
          <w:szCs w:val="26"/>
          <w:lang w:val="kk-KZ"/>
        </w:rPr>
        <w:t xml:space="preserve">      Конкурсқа қатысушыларға қойылатын талаптар:</w:t>
      </w:r>
      <w:r>
        <w:rPr>
          <w:sz w:val="26"/>
          <w:szCs w:val="26"/>
          <w:lang w:val="kk-KZ"/>
        </w:rPr>
        <w:t xml:space="preserve"> </w:t>
      </w:r>
      <w:r>
        <w:rPr>
          <w:sz w:val="26"/>
          <w:szCs w:val="26"/>
          <w:lang w:val="kk-KZ" w:eastAsia="ko-KR"/>
        </w:rPr>
        <w:t xml:space="preserve">Жоғары білім: </w:t>
      </w:r>
      <w:r>
        <w:rPr>
          <w:sz w:val="26"/>
          <w:szCs w:val="26"/>
          <w:lang w:val="kk-KZ"/>
        </w:rPr>
        <w:t xml:space="preserve">әлеуметтік ғылымдар, экономика және бизнес (экономика, менеджмент, есеп және аудит, мемлекеттік және жергілікті басқару, қаржы), </w:t>
      </w:r>
      <w:r>
        <w:rPr>
          <w:sz w:val="26"/>
          <w:szCs w:val="26"/>
          <w:lang w:val="kk-KZ" w:eastAsia="ko-KR"/>
        </w:rPr>
        <w:t>құқық (құқықтану),</w:t>
      </w:r>
      <w:r>
        <w:rPr>
          <w:sz w:val="26"/>
          <w:szCs w:val="26"/>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(қаржы салалар бойынша, </w:t>
      </w:r>
      <w:r>
        <w:rPr>
          <w:sz w:val="26"/>
          <w:szCs w:val="26"/>
          <w:lang w:val="kk-KZ" w:eastAsia="ko-KR"/>
        </w:rPr>
        <w:lastRenderedPageBreak/>
        <w:t>құқықтану, салық және салық салу</w:t>
      </w:r>
      <w:r>
        <w:rPr>
          <w:sz w:val="26"/>
          <w:szCs w:val="26"/>
          <w:lang w:val="kk-KZ"/>
        </w:rPr>
        <w:t>) кейінгі немесе техникалық және кәсіптік білім барларға рұқсат етіледі.</w:t>
      </w:r>
      <w:r>
        <w:rPr>
          <w:spacing w:val="2"/>
          <w:sz w:val="26"/>
          <w:szCs w:val="26"/>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Pr>
          <w:sz w:val="26"/>
          <w:szCs w:val="26"/>
          <w:lang w:val="kk-KZ"/>
        </w:rPr>
        <w:t>Жоғары білімі бар болған жағдайда жұмыс тәжірибесі талап етілмейді.</w:t>
      </w:r>
    </w:p>
    <w:p w:rsidR="00DE240E" w:rsidRDefault="00DE240E" w:rsidP="00DE240E">
      <w:pPr>
        <w:pStyle w:val="a6"/>
        <w:ind w:firstLine="567"/>
        <w:jc w:val="both"/>
        <w:rPr>
          <w:sz w:val="26"/>
          <w:szCs w:val="26"/>
          <w:lang w:val="kk-KZ"/>
        </w:rPr>
      </w:pPr>
    </w:p>
    <w:p w:rsidR="00DE240E" w:rsidRDefault="00DE240E" w:rsidP="00DE240E">
      <w:pPr>
        <w:pStyle w:val="a6"/>
        <w:tabs>
          <w:tab w:val="left" w:pos="284"/>
        </w:tabs>
        <w:jc w:val="both"/>
        <w:rPr>
          <w:sz w:val="26"/>
          <w:szCs w:val="26"/>
          <w:lang w:val="kk-KZ"/>
        </w:rPr>
      </w:pPr>
      <w:r>
        <w:rPr>
          <w:sz w:val="26"/>
          <w:szCs w:val="26"/>
          <w:lang w:val="kk-KZ"/>
        </w:rPr>
        <w:tab/>
        <w:t xml:space="preserve"> «Б» корпусының мемлекеттік әкімшілік лауазымдарына орналасуға</w:t>
      </w:r>
      <w:r>
        <w:rPr>
          <w:sz w:val="26"/>
          <w:szCs w:val="26"/>
          <w:lang w:val="kk-KZ"/>
        </w:rPr>
        <w:br/>
        <w:t>үміткерлерды Қазақстан Республикасының мемлекеттік тілі мен</w:t>
      </w:r>
      <w:r>
        <w:rPr>
          <w:sz w:val="26"/>
          <w:szCs w:val="26"/>
          <w:lang w:val="kk-KZ"/>
        </w:rPr>
        <w:br/>
        <w:t>заңнамаларын білуге арналған тестілеу бағдарламалары</w:t>
      </w:r>
    </w:p>
    <w:p w:rsidR="00DE240E" w:rsidRDefault="00DE240E" w:rsidP="00DE240E">
      <w:pPr>
        <w:pStyle w:val="a6"/>
        <w:ind w:firstLine="426"/>
        <w:jc w:val="both"/>
        <w:rPr>
          <w:sz w:val="26"/>
          <w:szCs w:val="26"/>
          <w:lang w:val="kk-KZ"/>
        </w:rPr>
      </w:pPr>
      <w:r>
        <w:rPr>
          <w:sz w:val="26"/>
          <w:szCs w:val="26"/>
          <w:lang w:val="kk-KZ"/>
        </w:rPr>
        <w:t>Қазақстан Республикасының мемлекеттік тілін білуге арналған тест;</w:t>
      </w:r>
      <w:r>
        <w:rPr>
          <w:sz w:val="26"/>
          <w:szCs w:val="26"/>
          <w:lang w:val="kk-KZ"/>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DE240E" w:rsidRDefault="00DE240E" w:rsidP="00DE240E">
      <w:pPr>
        <w:pStyle w:val="a6"/>
        <w:jc w:val="both"/>
        <w:rPr>
          <w:b/>
          <w:color w:val="000000"/>
          <w:sz w:val="26"/>
          <w:szCs w:val="26"/>
          <w:lang w:val="kk-KZ"/>
        </w:rPr>
      </w:pPr>
      <w:r>
        <w:rPr>
          <w:sz w:val="26"/>
          <w:szCs w:val="26"/>
          <w:lang w:val="kk-KZ"/>
        </w:rPr>
        <w:tab/>
      </w:r>
      <w:r>
        <w:rPr>
          <w:b/>
          <w:color w:val="000000"/>
          <w:sz w:val="26"/>
          <w:szCs w:val="26"/>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DE240E" w:rsidRDefault="00DE240E" w:rsidP="00DE240E">
      <w:pPr>
        <w:pStyle w:val="a6"/>
        <w:ind w:firstLine="708"/>
        <w:jc w:val="both"/>
        <w:rPr>
          <w:b/>
          <w:iCs/>
          <w:sz w:val="26"/>
          <w:szCs w:val="26"/>
          <w:lang w:val="kk-KZ"/>
        </w:rPr>
      </w:pPr>
      <w:r>
        <w:rPr>
          <w:b/>
          <w:iCs/>
          <w:sz w:val="26"/>
          <w:szCs w:val="26"/>
          <w:lang w:val="kk-KZ"/>
        </w:rPr>
        <w:t>Жалпы конкурсқа қатысу үшін қажетті құжаттар:</w:t>
      </w:r>
    </w:p>
    <w:p w:rsidR="00DE240E" w:rsidRDefault="00DE240E" w:rsidP="00DE240E">
      <w:pPr>
        <w:pStyle w:val="a6"/>
        <w:numPr>
          <w:ilvl w:val="0"/>
          <w:numId w:val="1"/>
        </w:numPr>
        <w:tabs>
          <w:tab w:val="left" w:pos="851"/>
        </w:tabs>
        <w:ind w:left="0" w:firstLine="567"/>
        <w:jc w:val="both"/>
        <w:rPr>
          <w:sz w:val="26"/>
          <w:szCs w:val="26"/>
          <w:lang w:val="kk-KZ"/>
        </w:rPr>
      </w:pPr>
      <w:r>
        <w:rPr>
          <w:sz w:val="26"/>
          <w:szCs w:val="26"/>
          <w:lang w:val="kk-KZ"/>
        </w:rPr>
        <w:t>осы Қағидалардың 2-қосымшасына сәйкес нысандағы өтініш;</w:t>
      </w:r>
      <w:bookmarkStart w:id="0" w:name="z154"/>
      <w:bookmarkEnd w:id="0"/>
      <w:r>
        <w:rPr>
          <w:sz w:val="26"/>
          <w:szCs w:val="26"/>
          <w:lang w:val="kk-KZ"/>
        </w:rPr>
        <w:t> </w:t>
      </w:r>
    </w:p>
    <w:p w:rsidR="00DE240E" w:rsidRDefault="00DE240E" w:rsidP="00DE240E">
      <w:pPr>
        <w:pStyle w:val="a6"/>
        <w:numPr>
          <w:ilvl w:val="0"/>
          <w:numId w:val="1"/>
        </w:numPr>
        <w:tabs>
          <w:tab w:val="left" w:pos="851"/>
        </w:tabs>
        <w:ind w:left="0" w:firstLine="567"/>
        <w:jc w:val="both"/>
        <w:rPr>
          <w:sz w:val="26"/>
          <w:szCs w:val="26"/>
          <w:lang w:val="kk-KZ"/>
        </w:rPr>
      </w:pPr>
      <w:r>
        <w:rPr>
          <w:sz w:val="26"/>
          <w:szCs w:val="26"/>
          <w:lang w:val="kk-KZ"/>
        </w:rPr>
        <w:t>3х4 үлгідегі суретпен осы Қағидалардың 3-қосымшасына сәйкес нысанда толтырылған сауалнама;</w:t>
      </w:r>
      <w:bookmarkStart w:id="1" w:name="z155"/>
      <w:bookmarkEnd w:id="1"/>
    </w:p>
    <w:p w:rsidR="00DE240E" w:rsidRDefault="00DE240E" w:rsidP="00DE240E">
      <w:pPr>
        <w:pStyle w:val="a6"/>
        <w:numPr>
          <w:ilvl w:val="0"/>
          <w:numId w:val="1"/>
        </w:numPr>
        <w:tabs>
          <w:tab w:val="left" w:pos="851"/>
        </w:tabs>
        <w:ind w:left="-142" w:firstLine="709"/>
        <w:jc w:val="both"/>
        <w:rPr>
          <w:sz w:val="26"/>
          <w:szCs w:val="26"/>
          <w:lang w:val="kk-KZ"/>
        </w:rPr>
      </w:pPr>
      <w:r>
        <w:rPr>
          <w:sz w:val="26"/>
          <w:szCs w:val="26"/>
          <w:lang w:val="kk-KZ"/>
        </w:rPr>
        <w:t>бiлiмi туралы құжаттардың нотариалдық куәландырылған көшiрмелерi;</w:t>
      </w:r>
      <w:bookmarkStart w:id="2" w:name="z156"/>
      <w:bookmarkEnd w:id="2"/>
      <w:r>
        <w:rPr>
          <w:sz w:val="26"/>
          <w:szCs w:val="26"/>
          <w:lang w:val="kk-KZ"/>
        </w:rPr>
        <w:t> </w:t>
      </w:r>
    </w:p>
    <w:p w:rsidR="00DE240E" w:rsidRDefault="00DE240E" w:rsidP="00DE240E">
      <w:pPr>
        <w:pStyle w:val="a6"/>
        <w:numPr>
          <w:ilvl w:val="0"/>
          <w:numId w:val="1"/>
        </w:numPr>
        <w:tabs>
          <w:tab w:val="left" w:pos="851"/>
        </w:tabs>
        <w:ind w:left="-142" w:firstLine="709"/>
        <w:jc w:val="both"/>
        <w:rPr>
          <w:sz w:val="26"/>
          <w:szCs w:val="26"/>
          <w:lang w:val="kk-KZ"/>
        </w:rPr>
      </w:pPr>
      <w:r>
        <w:rPr>
          <w:sz w:val="26"/>
          <w:szCs w:val="26"/>
          <w:lang w:val="kk-KZ"/>
        </w:rPr>
        <w:t>еңбек қызметін растайтын </w:t>
      </w:r>
      <w:hyperlink r:id="rId7" w:anchor="z43" w:history="1">
        <w:r>
          <w:rPr>
            <w:rStyle w:val="a3"/>
            <w:lang w:val="kk-KZ"/>
          </w:rPr>
          <w:t>құжаттың</w:t>
        </w:r>
      </w:hyperlink>
      <w:r>
        <w:rPr>
          <w:sz w:val="26"/>
          <w:szCs w:val="26"/>
          <w:lang w:val="kk-KZ"/>
        </w:rPr>
        <w:t> нотариалдық куәландырылған көшiрмесi;</w:t>
      </w:r>
    </w:p>
    <w:p w:rsidR="00DE240E" w:rsidRDefault="00DE240E" w:rsidP="00DE240E">
      <w:pPr>
        <w:pStyle w:val="a6"/>
        <w:tabs>
          <w:tab w:val="left" w:pos="851"/>
        </w:tabs>
        <w:ind w:firstLine="567"/>
        <w:jc w:val="both"/>
        <w:rPr>
          <w:sz w:val="26"/>
          <w:szCs w:val="26"/>
          <w:lang w:val="kk-KZ"/>
        </w:rPr>
      </w:pPr>
      <w:r>
        <w:rPr>
          <w:sz w:val="26"/>
          <w:szCs w:val="26"/>
          <w:lang w:val="kk-KZ"/>
        </w:rPr>
        <w:t>5)Қазақстан Республикасы Денсаулық сақтау министрінің міндетін атқарушының 2010 жылғы 23 қарашадағы № 907 </w:t>
      </w:r>
      <w:hyperlink r:id="rId8" w:anchor="z0" w:history="1">
        <w:r>
          <w:rPr>
            <w:rStyle w:val="a3"/>
            <w:lang w:val="kk-KZ"/>
          </w:rPr>
          <w:t>бұйрығымен</w:t>
        </w:r>
      </w:hyperlink>
      <w:r>
        <w:rPr>
          <w:sz w:val="26"/>
          <w:szCs w:val="26"/>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3" w:name="z158"/>
      <w:bookmarkEnd w:id="3"/>
      <w:r>
        <w:rPr>
          <w:sz w:val="26"/>
          <w:szCs w:val="26"/>
          <w:lang w:val="kk-KZ"/>
        </w:rPr>
        <w:t> </w:t>
      </w:r>
    </w:p>
    <w:p w:rsidR="00DE240E" w:rsidRDefault="00DE240E" w:rsidP="00DE240E">
      <w:pPr>
        <w:pStyle w:val="a6"/>
        <w:ind w:firstLine="567"/>
        <w:jc w:val="both"/>
        <w:rPr>
          <w:sz w:val="26"/>
          <w:szCs w:val="26"/>
          <w:lang w:val="kk-KZ"/>
        </w:rPr>
      </w:pPr>
      <w:r>
        <w:rPr>
          <w:sz w:val="26"/>
          <w:szCs w:val="26"/>
          <w:lang w:val="kk-KZ"/>
        </w:rPr>
        <w:t>6) Қазақстан Республикасы азаматының жеке басын куәландыратын құжаттың көшірмесі;</w:t>
      </w:r>
      <w:bookmarkStart w:id="4" w:name="z159"/>
      <w:bookmarkEnd w:id="4"/>
    </w:p>
    <w:p w:rsidR="00DE240E" w:rsidRDefault="00DE240E" w:rsidP="00DE240E">
      <w:pPr>
        <w:pStyle w:val="a6"/>
        <w:ind w:firstLine="567"/>
        <w:jc w:val="both"/>
        <w:rPr>
          <w:sz w:val="26"/>
          <w:szCs w:val="26"/>
          <w:lang w:val="kk-KZ"/>
        </w:rPr>
      </w:pPr>
      <w:r>
        <w:rPr>
          <w:sz w:val="26"/>
          <w:szCs w:val="26"/>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5" w:name="z160"/>
      <w:bookmarkEnd w:id="5"/>
    </w:p>
    <w:p w:rsidR="00DE240E" w:rsidRDefault="00DE240E" w:rsidP="00DE240E">
      <w:pPr>
        <w:pStyle w:val="a6"/>
        <w:ind w:firstLine="567"/>
        <w:jc w:val="both"/>
        <w:rPr>
          <w:sz w:val="26"/>
          <w:szCs w:val="26"/>
          <w:lang w:val="kk-KZ"/>
        </w:rPr>
      </w:pPr>
      <w:r>
        <w:rPr>
          <w:sz w:val="26"/>
          <w:szCs w:val="26"/>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E240E" w:rsidRDefault="00DE240E" w:rsidP="00DE240E">
      <w:pPr>
        <w:pStyle w:val="a6"/>
        <w:ind w:firstLine="567"/>
        <w:jc w:val="both"/>
        <w:rPr>
          <w:sz w:val="26"/>
          <w:szCs w:val="26"/>
          <w:lang w:val="kk-KZ"/>
        </w:rPr>
      </w:pPr>
      <w:r>
        <w:rPr>
          <w:sz w:val="26"/>
          <w:szCs w:val="26"/>
          <w:lang w:val="kk-KZ"/>
        </w:rPr>
        <w:t>Құжаттардың толық емес пакетін ұсыну конкурс комиссиясының оларды қараудан бас тартуы үшін негіз болып табылады.</w:t>
      </w:r>
    </w:p>
    <w:p w:rsidR="00DE240E" w:rsidRDefault="00DE240E" w:rsidP="00DE240E">
      <w:pPr>
        <w:pStyle w:val="a6"/>
        <w:tabs>
          <w:tab w:val="left" w:pos="567"/>
        </w:tabs>
        <w:ind w:firstLine="426"/>
        <w:jc w:val="both"/>
        <w:rPr>
          <w:sz w:val="26"/>
          <w:szCs w:val="26"/>
          <w:lang w:val="kk-KZ"/>
        </w:rPr>
      </w:pPr>
      <w:r>
        <w:rPr>
          <w:sz w:val="26"/>
          <w:szCs w:val="26"/>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40E" w:rsidRDefault="00DE240E" w:rsidP="00DE240E">
      <w:pPr>
        <w:ind w:firstLine="708"/>
        <w:jc w:val="both"/>
        <w:rPr>
          <w:rFonts w:ascii="Times New Roman" w:hAnsi="Times New Roman"/>
          <w:sz w:val="26"/>
          <w:szCs w:val="26"/>
          <w:lang w:val="kk-KZ"/>
        </w:rPr>
      </w:pPr>
      <w:r>
        <w:rPr>
          <w:rFonts w:ascii="Times New Roman" w:hAnsi="Times New Roman"/>
          <w:sz w:val="26"/>
          <w:szCs w:val="26"/>
          <w:u w:val="single"/>
          <w:lang w:val="kk-KZ"/>
        </w:rPr>
        <w:lastRenderedPageBreak/>
        <w:t>Жалпы</w:t>
      </w:r>
      <w:r>
        <w:rPr>
          <w:rFonts w:ascii="Times New Roman" w:hAnsi="Times New Roman"/>
          <w:sz w:val="26"/>
          <w:szCs w:val="26"/>
          <w:lang w:val="kk-KZ"/>
        </w:rPr>
        <w:t xml:space="preserve"> конкурсқа қатысуға ниет білдірген азаматтар конкурс өткiзетiн «Арқалық қаласы бойынша Мемлекеттік кірістер басқармасы» РММ-сіне </w:t>
      </w:r>
      <w:r>
        <w:rPr>
          <w:rFonts w:ascii="Times New Roman" w:hAnsi="Times New Roman"/>
          <w:b/>
          <w:sz w:val="26"/>
          <w:szCs w:val="26"/>
          <w:u w:val="single"/>
          <w:lang w:val="kk-KZ"/>
        </w:rPr>
        <w:t>7 жұмыс күні ішінде</w:t>
      </w:r>
      <w:r>
        <w:rPr>
          <w:rFonts w:ascii="Times New Roman" w:hAnsi="Times New Roman"/>
          <w:b/>
          <w:sz w:val="26"/>
          <w:szCs w:val="26"/>
          <w:lang w:val="kk-KZ"/>
        </w:rPr>
        <w:t xml:space="preserve"> </w:t>
      </w:r>
      <w:r>
        <w:rPr>
          <w:rFonts w:ascii="Times New Roman" w:hAnsi="Times New Roman"/>
          <w:sz w:val="26"/>
          <w:szCs w:val="26"/>
          <w:lang w:val="kk-KZ"/>
        </w:rPr>
        <w:t xml:space="preserve">құжаттарын қолма-қол тәртіпте, 110600, Қостанай облысы, Арқалық қаласы, Абай көшесі, 29 үй мекен-жайы арқылы не </w:t>
      </w:r>
      <w:hyperlink r:id="rId9" w:history="1">
        <w:r>
          <w:rPr>
            <w:rStyle w:val="a3"/>
            <w:rFonts w:ascii="Calibri" w:hAnsi="Calibri"/>
            <w:b/>
            <w:lang w:val="kk-KZ"/>
          </w:rPr>
          <w:t>nk3925@taxkost.mgd.kz</w:t>
        </w:r>
      </w:hyperlink>
      <w:r>
        <w:rPr>
          <w:rFonts w:ascii="Times New Roman" w:hAnsi="Times New Roman"/>
          <w:sz w:val="26"/>
          <w:szCs w:val="26"/>
          <w:lang w:val="kk-KZ"/>
        </w:rPr>
        <w:t xml:space="preserve">, </w:t>
      </w:r>
      <w:hyperlink r:id="rId10" w:history="1">
        <w:r>
          <w:rPr>
            <w:rStyle w:val="a3"/>
            <w:rFonts w:ascii="Calibri" w:hAnsi="Calibri"/>
            <w:b/>
            <w:bCs/>
            <w:iCs/>
            <w:lang w:val="kk-KZ"/>
          </w:rPr>
          <w:t>a.alshymbaeva@kgd.gov.kz</w:t>
        </w:r>
      </w:hyperlink>
      <w:r>
        <w:rPr>
          <w:rFonts w:ascii="Times New Roman" w:hAnsi="Times New Roman"/>
          <w:b/>
          <w:sz w:val="26"/>
          <w:szCs w:val="26"/>
          <w:lang w:val="kk-KZ"/>
        </w:rPr>
        <w:t xml:space="preserve">. </w:t>
      </w:r>
      <w:r>
        <w:rPr>
          <w:rFonts w:ascii="Times New Roman" w:hAnsi="Times New Roman"/>
          <w:sz w:val="26"/>
          <w:szCs w:val="26"/>
          <w:lang w:val="kk-KZ"/>
        </w:rPr>
        <w:t>электрондық пошта мекенжайына электронды түрде не «Е-gov» электронды Үкімет порталы арқылы құжаттарды қабылдау мерзімінде тапсырады. Анықтама телефоны: (871430) 7-17-35.</w:t>
      </w:r>
    </w:p>
    <w:p w:rsidR="00DE240E" w:rsidRDefault="00DE240E" w:rsidP="00DE240E">
      <w:pPr>
        <w:pStyle w:val="a6"/>
        <w:ind w:firstLine="708"/>
        <w:jc w:val="both"/>
        <w:rPr>
          <w:sz w:val="26"/>
          <w:szCs w:val="26"/>
          <w:lang w:val="kk-KZ"/>
        </w:rPr>
      </w:pPr>
      <w:r>
        <w:rPr>
          <w:sz w:val="26"/>
          <w:szCs w:val="26"/>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Pr>
          <w:b/>
          <w:sz w:val="26"/>
          <w:szCs w:val="26"/>
          <w:lang w:val="kk-KZ"/>
        </w:rPr>
        <w:t>бір жұмыс күні</w:t>
      </w:r>
      <w:r>
        <w:rPr>
          <w:sz w:val="26"/>
          <w:szCs w:val="26"/>
          <w:lang w:val="kk-KZ"/>
        </w:rPr>
        <w:t xml:space="preserve"> бұрын кешіктірілмей береді.</w:t>
      </w:r>
    </w:p>
    <w:p w:rsidR="00DE240E" w:rsidRDefault="00DE240E" w:rsidP="00DE240E">
      <w:pPr>
        <w:pStyle w:val="a6"/>
        <w:ind w:firstLine="708"/>
        <w:jc w:val="both"/>
        <w:rPr>
          <w:sz w:val="26"/>
          <w:szCs w:val="26"/>
          <w:lang w:val="kk-KZ"/>
        </w:rPr>
      </w:pPr>
      <w:r>
        <w:rPr>
          <w:sz w:val="26"/>
          <w:szCs w:val="26"/>
          <w:lang w:val="kk-KZ"/>
        </w:rPr>
        <w:t>Оларды бермеген жағдайда тұлға конкурс комиссиясымен әңгімелесуден өтуге жіберілмейді.</w:t>
      </w:r>
    </w:p>
    <w:p w:rsidR="00DE240E" w:rsidRDefault="00DE240E" w:rsidP="00DE240E">
      <w:pPr>
        <w:pStyle w:val="a6"/>
        <w:ind w:firstLine="708"/>
        <w:jc w:val="both"/>
        <w:rPr>
          <w:sz w:val="26"/>
          <w:szCs w:val="26"/>
          <w:lang w:val="kk-KZ"/>
        </w:rPr>
      </w:pPr>
      <w:r>
        <w:rPr>
          <w:sz w:val="26"/>
          <w:szCs w:val="26"/>
          <w:lang w:val="kk-KZ" w:eastAsia="ko-KR"/>
        </w:rPr>
        <w:t xml:space="preserve">Әңгімелесуге жіберілген үміткерлер оны үміткерлерді әңгімелесу жіберу туралы хабардар ету күнінен бастап </w:t>
      </w:r>
      <w:r>
        <w:rPr>
          <w:b/>
          <w:sz w:val="26"/>
          <w:szCs w:val="26"/>
          <w:lang w:val="kk-KZ" w:eastAsia="ko-KR"/>
        </w:rPr>
        <w:t>3 жұмыс күн ішінде</w:t>
      </w:r>
      <w:r>
        <w:rPr>
          <w:sz w:val="26"/>
          <w:szCs w:val="26"/>
          <w:lang w:val="kk-KZ" w:eastAsia="ko-KR"/>
        </w:rPr>
        <w:t xml:space="preserve"> </w:t>
      </w:r>
      <w:r>
        <w:rPr>
          <w:sz w:val="26"/>
          <w:szCs w:val="26"/>
          <w:lang w:val="kk-KZ"/>
        </w:rPr>
        <w:t xml:space="preserve">«Арқалық бойынша Мемлекеттік кірістер басқармасы» РММ-сіне Қостанай облысы, Арқалық қаласы,  Абай көшесі, 29 үй </w:t>
      </w:r>
      <w:r>
        <w:rPr>
          <w:sz w:val="26"/>
          <w:szCs w:val="26"/>
          <w:lang w:val="kk-KZ" w:eastAsia="ko-KR"/>
        </w:rPr>
        <w:t xml:space="preserve">мекенжайы бойынша өтеді. </w:t>
      </w:r>
    </w:p>
    <w:p w:rsidR="00DE240E" w:rsidRDefault="00DE240E" w:rsidP="00DE240E">
      <w:pPr>
        <w:pStyle w:val="a6"/>
        <w:ind w:firstLine="708"/>
        <w:jc w:val="both"/>
        <w:rPr>
          <w:iCs/>
          <w:sz w:val="26"/>
          <w:szCs w:val="26"/>
          <w:lang w:val="kk-KZ"/>
        </w:rPr>
      </w:pPr>
      <w:r>
        <w:rPr>
          <w:iCs/>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DE240E" w:rsidRPr="003E018C" w:rsidRDefault="00DE240E" w:rsidP="00DE240E">
      <w:pPr>
        <w:pStyle w:val="a6"/>
        <w:jc w:val="both"/>
        <w:rPr>
          <w:rStyle w:val="a4"/>
          <w:bCs/>
          <w:lang w:val="kk-KZ"/>
        </w:rPr>
      </w:pPr>
      <w:r>
        <w:rPr>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E240E" w:rsidRPr="003E018C"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DE240E" w:rsidRDefault="00DE240E" w:rsidP="00DE240E">
      <w:pPr>
        <w:pStyle w:val="a6"/>
        <w:ind w:left="5670"/>
        <w:jc w:val="center"/>
        <w:rPr>
          <w:sz w:val="20"/>
          <w:szCs w:val="20"/>
          <w:lang w:val="kk-KZ"/>
        </w:rPr>
      </w:pPr>
    </w:p>
    <w:p w:rsidR="00E373CB" w:rsidRPr="003E018C" w:rsidRDefault="00E373CB">
      <w:pPr>
        <w:rPr>
          <w:lang w:val="kk-KZ"/>
        </w:rPr>
      </w:pPr>
    </w:p>
    <w:sectPr w:rsidR="00E373CB" w:rsidRPr="003E018C" w:rsidSect="00E37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47E71"/>
    <w:multiLevelType w:val="hybridMultilevel"/>
    <w:tmpl w:val="12BE6FDE"/>
    <w:lvl w:ilvl="0" w:tplc="DCC64616">
      <w:start w:val="1"/>
      <w:numFmt w:val="decimal"/>
      <w:lvlText w:val="%1)"/>
      <w:lvlJc w:val="left"/>
      <w:pPr>
        <w:ind w:left="27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E240E"/>
    <w:rsid w:val="002D580F"/>
    <w:rsid w:val="003E018C"/>
    <w:rsid w:val="004914FC"/>
    <w:rsid w:val="007B57BC"/>
    <w:rsid w:val="00830DF0"/>
    <w:rsid w:val="009758C9"/>
    <w:rsid w:val="00DE240E"/>
    <w:rsid w:val="00E37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0E"/>
    <w:rPr>
      <w:rFonts w:ascii="Calibri" w:eastAsia="Times New Roman" w:hAnsi="Calibri" w:cs="Times New Roman"/>
      <w:lang w:eastAsia="ru-RU"/>
    </w:rPr>
  </w:style>
  <w:style w:type="paragraph" w:styleId="3">
    <w:name w:val="heading 3"/>
    <w:basedOn w:val="a"/>
    <w:next w:val="a"/>
    <w:link w:val="30"/>
    <w:uiPriority w:val="99"/>
    <w:unhideWhenUsed/>
    <w:qFormat/>
    <w:rsid w:val="00DE240E"/>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E240E"/>
    <w:rPr>
      <w:rFonts w:ascii="Cambria" w:eastAsia="Times New Roman" w:hAnsi="Cambria" w:cs="Times New Roman"/>
      <w:b/>
      <w:bCs/>
      <w:sz w:val="26"/>
      <w:szCs w:val="26"/>
    </w:rPr>
  </w:style>
  <w:style w:type="character" w:styleId="a3">
    <w:name w:val="Hyperlink"/>
    <w:uiPriority w:val="99"/>
    <w:semiHidden/>
    <w:unhideWhenUsed/>
    <w:rsid w:val="00DE240E"/>
    <w:rPr>
      <w:rFonts w:ascii="Times New Roman" w:hAnsi="Times New Roman" w:cs="Times New Roman" w:hint="default"/>
      <w:color w:val="0000FF"/>
      <w:u w:val="single"/>
    </w:rPr>
  </w:style>
  <w:style w:type="character" w:styleId="a4">
    <w:name w:val="Strong"/>
    <w:uiPriority w:val="99"/>
    <w:qFormat/>
    <w:rsid w:val="00DE240E"/>
    <w:rPr>
      <w:rFonts w:ascii="Times New Roman" w:hAnsi="Times New Roman" w:cs="Times New Roman" w:hint="default"/>
      <w:b/>
      <w:bCs w:val="0"/>
    </w:rPr>
  </w:style>
  <w:style w:type="character" w:customStyle="1" w:styleId="a5">
    <w:name w:val="Без интервала Знак"/>
    <w:link w:val="a6"/>
    <w:uiPriority w:val="1"/>
    <w:locked/>
    <w:rsid w:val="00DE240E"/>
    <w:rPr>
      <w:rFonts w:ascii="Times New Roman" w:hAnsi="Times New Roman" w:cs="Times New Roman"/>
      <w:sz w:val="24"/>
      <w:szCs w:val="24"/>
    </w:rPr>
  </w:style>
  <w:style w:type="paragraph" w:styleId="a6">
    <w:name w:val="No Spacing"/>
    <w:link w:val="a5"/>
    <w:uiPriority w:val="1"/>
    <w:qFormat/>
    <w:rsid w:val="00DE240E"/>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58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000006697" TargetMode="External"/><Relationship Id="rId3" Type="http://schemas.openxmlformats.org/officeDocument/2006/relationships/settings" Target="settings.xml"/><Relationship Id="rId7" Type="http://schemas.openxmlformats.org/officeDocument/2006/relationships/hyperlink" Target="http://adilet.zan.kz/kaz/docs/K070000251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lshymbaeva@kgd.gov.kz" TargetMode="External"/><Relationship Id="rId11" Type="http://schemas.openxmlformats.org/officeDocument/2006/relationships/fontTable" Target="fontTable.xml"/><Relationship Id="rId5" Type="http://schemas.openxmlformats.org/officeDocument/2006/relationships/hyperlink" Target="mailto:nk3925@taxkost.mgd.kz" TargetMode="External"/><Relationship Id="rId10" Type="http://schemas.openxmlformats.org/officeDocument/2006/relationships/hyperlink" Target="mailto:a.alshymbaeva@kgd.gov.kz" TargetMode="External"/><Relationship Id="rId4" Type="http://schemas.openxmlformats.org/officeDocument/2006/relationships/webSettings" Target="webSettings.xml"/><Relationship Id="rId9" Type="http://schemas.openxmlformats.org/officeDocument/2006/relationships/hyperlink" Target="mailto:nk3925@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Company>Home</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Самал Нарумбаева</cp:lastModifiedBy>
  <cp:revision>3</cp:revision>
  <dcterms:created xsi:type="dcterms:W3CDTF">2016-11-18T10:07:00Z</dcterms:created>
  <dcterms:modified xsi:type="dcterms:W3CDTF">2016-11-18T10:16:00Z</dcterms:modified>
</cp:coreProperties>
</file>